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drawings/drawing1.xml" ContentType="application/vnd.openxmlformats-officedocument.drawingml.chartshapes+xml"/>
  <Override PartName="/word/drawings/drawing2.xml" ContentType="application/vnd.openxmlformats-officedocument.drawingml.chartshap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宋体" w:eastAsia="方正小标宋简体"/>
          <w:sz w:val="72"/>
          <w:szCs w:val="72"/>
        </w:rPr>
      </w:pPr>
      <w:bookmarkStart w:id="0" w:name="_Toc15306267"/>
    </w:p>
    <w:p>
      <w:pPr>
        <w:spacing w:line="600" w:lineRule="exact"/>
        <w:jc w:val="center"/>
        <w:rPr>
          <w:rFonts w:ascii="方正小标宋简体" w:hAnsi="宋体" w:eastAsia="方正小标宋简体"/>
          <w:sz w:val="72"/>
          <w:szCs w:val="72"/>
        </w:rPr>
      </w:pPr>
    </w:p>
    <w:p>
      <w:pPr>
        <w:spacing w:line="600" w:lineRule="exact"/>
        <w:jc w:val="center"/>
        <w:rPr>
          <w:rFonts w:ascii="方正小标宋简体" w:hAnsi="宋体" w:eastAsia="方正小标宋简体"/>
          <w:sz w:val="72"/>
          <w:szCs w:val="72"/>
        </w:rPr>
      </w:pPr>
    </w:p>
    <w:p>
      <w:pPr>
        <w:spacing w:line="600" w:lineRule="exact"/>
        <w:jc w:val="center"/>
        <w:rPr>
          <w:rFonts w:ascii="方正小标宋简体" w:hAnsi="宋体" w:eastAsia="方正小标宋简体"/>
          <w:sz w:val="72"/>
          <w:szCs w:val="72"/>
        </w:rPr>
      </w:pPr>
    </w:p>
    <w:p>
      <w:pPr>
        <w:adjustRightInd w:val="0"/>
        <w:snapToGrid w:val="0"/>
        <w:spacing w:line="360" w:lineRule="auto"/>
        <w:jc w:val="center"/>
      </w:pPr>
      <w:bookmarkStart w:id="1" w:name="_Toc15377425"/>
      <w:bookmarkStart w:id="2" w:name="_Toc15396597"/>
      <w:bookmarkStart w:id="3" w:name="_Toc15378441"/>
      <w:bookmarkStart w:id="4" w:name="_Toc15396475"/>
      <w:bookmarkStart w:id="5" w:name="_Toc15377193"/>
      <w:r>
        <w:rPr>
          <w:rFonts w:hint="eastAsia" w:ascii="方正小标宋简体" w:hAnsi="方正小标宋简体" w:eastAsia="方正小标宋简体" w:cs="方正小标宋简体"/>
          <w:sz w:val="72"/>
          <w:szCs w:val="72"/>
        </w:rPr>
        <w:t>2021年度</w:t>
      </w:r>
      <w:bookmarkEnd w:id="1"/>
      <w:bookmarkEnd w:id="2"/>
      <w:bookmarkEnd w:id="3"/>
      <w:bookmarkEnd w:id="4"/>
      <w:bookmarkEnd w:id="5"/>
      <w:bookmarkStart w:id="6" w:name="_Toc15377426"/>
      <w:bookmarkStart w:id="7" w:name="_Toc15396598"/>
      <w:bookmarkStart w:id="8" w:name="_Toc15378442"/>
      <w:bookmarkStart w:id="9" w:name="_Toc15377194"/>
      <w:bookmarkStart w:id="10" w:name="_Toc15396476"/>
      <w:r>
        <w:rPr>
          <w:rFonts w:hint="eastAsia" w:eastAsia="方正小标宋简体"/>
          <w:spacing w:val="1"/>
          <w:w w:val="76"/>
          <w:kern w:val="0"/>
          <w:sz w:val="72"/>
          <w:szCs w:val="72"/>
          <w:fitText w:val="8280" w:id="1259932838"/>
        </w:rPr>
        <w:t>四川省攀枝花</w:t>
      </w:r>
      <w:bookmarkEnd w:id="0"/>
      <w:bookmarkStart w:id="11" w:name="_Toc15306268"/>
      <w:r>
        <w:rPr>
          <w:rFonts w:hint="eastAsia" w:eastAsia="方正小标宋简体"/>
          <w:spacing w:val="1"/>
          <w:w w:val="76"/>
          <w:kern w:val="0"/>
          <w:sz w:val="72"/>
          <w:szCs w:val="72"/>
          <w:fitText w:val="8280" w:id="1259932838"/>
        </w:rPr>
        <w:t>中国三线建设博物</w:t>
      </w:r>
      <w:r>
        <w:rPr>
          <w:rFonts w:hint="eastAsia" w:eastAsia="方正小标宋简体"/>
          <w:spacing w:val="34"/>
          <w:w w:val="76"/>
          <w:kern w:val="0"/>
          <w:sz w:val="72"/>
          <w:szCs w:val="72"/>
          <w:fitText w:val="8280" w:id="1259932838"/>
        </w:rPr>
        <w:t>馆</w:t>
      </w:r>
    </w:p>
    <w:p>
      <w:pPr>
        <w:adjustRightInd w:val="0"/>
        <w:snapToGrid w:val="0"/>
        <w:spacing w:line="360" w:lineRule="auto"/>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单位决算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0"/>
      </w:pPr>
      <w:r>
        <w:rPr>
          <w:rFonts w:hint="eastAsia"/>
        </w:rPr>
        <w:t>公开时间：2022年9月</w:t>
      </w:r>
      <w:r>
        <w:rPr>
          <w:rFonts w:hint="eastAsia"/>
          <w:lang w:val="en-US" w:eastAsia="zh-CN"/>
        </w:rPr>
        <w:t>14</w:t>
      </w:r>
      <w:r>
        <w:rPr>
          <w:rFonts w:hint="eastAsia"/>
        </w:rPr>
        <w:t>日</w:t>
      </w:r>
      <w:bookmarkStart w:id="99" w:name="_GoBack"/>
      <w:bookmarkEnd w:id="99"/>
    </w:p>
    <w:sdt>
      <w:sdtPr>
        <w:rPr>
          <w:rFonts w:ascii="宋体" w:hAnsi="宋体"/>
        </w:rPr>
        <w:id w:val="147457114"/>
        <w:docPartObj>
          <w:docPartGallery w:val="Table of Contents"/>
          <w:docPartUnique/>
        </w:docPartObj>
      </w:sdtPr>
      <w:sdtEndPr>
        <w:rPr>
          <w:rFonts w:ascii="宋体" w:hAnsi="宋体"/>
          <w:b/>
        </w:rPr>
      </w:sdtEndPr>
      <w:sdtContent>
        <w:p>
          <w:pPr>
            <w:jc w:val="center"/>
          </w:pPr>
        </w:p>
        <w:p>
          <w:pPr>
            <w:pStyle w:val="10"/>
            <w:rPr>
              <w:rFonts w:asciiTheme="minorHAnsi" w:hAnsiTheme="minorHAnsi" w:eastAsiaTheme="minorEastAsia" w:cstheme="minorBidi"/>
              <w:sz w:val="21"/>
              <w:szCs w:val="21"/>
            </w:rPr>
          </w:pPr>
          <w:r>
            <w:rPr>
              <w:rFonts w:asciiTheme="minorHAnsi" w:hAnsiTheme="minorHAnsi" w:eastAsiaTheme="minorEastAsia" w:cstheme="minorBidi"/>
              <w:kern w:val="0"/>
              <w:sz w:val="20"/>
              <w:szCs w:val="20"/>
            </w:rPr>
            <w:fldChar w:fldCharType="begin"/>
          </w:r>
          <w:r>
            <w:instrText xml:space="preserve">TOC \o "1-2" \h \u </w:instrText>
          </w:r>
          <w:r>
            <w:rPr>
              <w:rFonts w:asciiTheme="minorHAnsi" w:hAnsiTheme="minorHAnsi" w:eastAsiaTheme="minorEastAsia" w:cstheme="minorBidi"/>
              <w:kern w:val="0"/>
              <w:sz w:val="20"/>
              <w:szCs w:val="20"/>
            </w:rPr>
            <w:fldChar w:fldCharType="separate"/>
          </w:r>
          <w:r>
            <w:fldChar w:fldCharType="begin"/>
          </w:r>
          <w:r>
            <w:instrText xml:space="preserve"> HYPERLINK \l "_Toc113008476" </w:instrText>
          </w:r>
          <w:r>
            <w:fldChar w:fldCharType="separate"/>
          </w:r>
          <w:r>
            <w:rPr>
              <w:rStyle w:val="15"/>
              <w:rFonts w:hint="eastAsia" w:ascii="黑体" w:hAnsi="黑体" w:eastAsia="黑体"/>
              <w:sz w:val="21"/>
              <w:szCs w:val="21"/>
            </w:rPr>
            <w:t>第一部分单位概况</w:t>
          </w:r>
          <w:r>
            <w:rPr>
              <w:sz w:val="21"/>
              <w:szCs w:val="21"/>
            </w:rPr>
            <w:tab/>
          </w:r>
          <w:r>
            <w:rPr>
              <w:sz w:val="21"/>
              <w:szCs w:val="21"/>
            </w:rPr>
            <w:fldChar w:fldCharType="begin"/>
          </w:r>
          <w:r>
            <w:rPr>
              <w:sz w:val="21"/>
              <w:szCs w:val="21"/>
            </w:rPr>
            <w:instrText xml:space="preserve"> PAGEREF _Toc113008476 \h </w:instrText>
          </w:r>
          <w:r>
            <w:rPr>
              <w:sz w:val="21"/>
              <w:szCs w:val="21"/>
            </w:rPr>
            <w:fldChar w:fldCharType="separate"/>
          </w:r>
          <w:r>
            <w:rPr>
              <w:sz w:val="21"/>
              <w:szCs w:val="21"/>
            </w:rPr>
            <w:t>1</w:t>
          </w:r>
          <w:r>
            <w:rPr>
              <w:sz w:val="21"/>
              <w:szCs w:val="21"/>
            </w:rPr>
            <w:fldChar w:fldCharType="end"/>
          </w:r>
          <w:r>
            <w:rPr>
              <w:sz w:val="21"/>
              <w:szCs w:val="21"/>
            </w:rPr>
            <w:fldChar w:fldCharType="end"/>
          </w:r>
        </w:p>
        <w:p>
          <w:pPr>
            <w:pStyle w:val="11"/>
            <w:rPr>
              <w:rFonts w:asciiTheme="minorHAnsi" w:hAnsiTheme="minorHAnsi" w:eastAsiaTheme="minorEastAsia" w:cstheme="minorBidi"/>
              <w:szCs w:val="21"/>
            </w:rPr>
          </w:pPr>
          <w:r>
            <w:fldChar w:fldCharType="begin"/>
          </w:r>
          <w:r>
            <w:instrText xml:space="preserve"> HYPERLINK \l "_Toc113008477" </w:instrText>
          </w:r>
          <w:r>
            <w:fldChar w:fldCharType="separate"/>
          </w:r>
          <w:r>
            <w:rPr>
              <w:rStyle w:val="15"/>
              <w:rFonts w:hint="eastAsia" w:ascii="黑体" w:hAnsi="黑体" w:eastAsia="黑体"/>
              <w:szCs w:val="21"/>
            </w:rPr>
            <w:t>一、职能简介</w:t>
          </w:r>
          <w:r>
            <w:rPr>
              <w:szCs w:val="21"/>
            </w:rPr>
            <w:tab/>
          </w:r>
          <w:r>
            <w:rPr>
              <w:szCs w:val="21"/>
            </w:rPr>
            <w:fldChar w:fldCharType="begin"/>
          </w:r>
          <w:r>
            <w:rPr>
              <w:szCs w:val="21"/>
            </w:rPr>
            <w:instrText xml:space="preserve"> PAGEREF _Toc113008477 \h </w:instrText>
          </w:r>
          <w:r>
            <w:rPr>
              <w:szCs w:val="21"/>
            </w:rPr>
            <w:fldChar w:fldCharType="separate"/>
          </w:r>
          <w:r>
            <w:rPr>
              <w:szCs w:val="21"/>
            </w:rPr>
            <w:t>1</w:t>
          </w:r>
          <w:r>
            <w:rPr>
              <w:szCs w:val="21"/>
            </w:rPr>
            <w:fldChar w:fldCharType="end"/>
          </w:r>
          <w:r>
            <w:rPr>
              <w:szCs w:val="21"/>
            </w:rPr>
            <w:fldChar w:fldCharType="end"/>
          </w:r>
        </w:p>
        <w:p>
          <w:pPr>
            <w:pStyle w:val="11"/>
            <w:rPr>
              <w:szCs w:val="21"/>
            </w:rPr>
          </w:pPr>
          <w:r>
            <w:fldChar w:fldCharType="begin"/>
          </w:r>
          <w:r>
            <w:instrText xml:space="preserve"> HYPERLINK \l "_Toc113008478" </w:instrText>
          </w:r>
          <w:r>
            <w:fldChar w:fldCharType="separate"/>
          </w:r>
          <w:r>
            <w:rPr>
              <w:rStyle w:val="15"/>
              <w:rFonts w:hint="eastAsia" w:ascii="黑体" w:hAnsi="黑体" w:eastAsia="黑体"/>
              <w:szCs w:val="21"/>
            </w:rPr>
            <w:t>二、</w:t>
          </w:r>
          <w:r>
            <w:rPr>
              <w:rStyle w:val="15"/>
              <w:rFonts w:ascii="黑体" w:hAnsi="黑体" w:eastAsia="黑体"/>
              <w:szCs w:val="21"/>
            </w:rPr>
            <w:t>2021</w:t>
          </w:r>
          <w:r>
            <w:rPr>
              <w:rStyle w:val="15"/>
              <w:rFonts w:hint="eastAsia" w:ascii="黑体" w:hAnsi="黑体" w:eastAsia="黑体"/>
              <w:szCs w:val="21"/>
            </w:rPr>
            <w:t>年重点工作完成情况</w:t>
          </w:r>
          <w:r>
            <w:rPr>
              <w:szCs w:val="21"/>
            </w:rPr>
            <w:tab/>
          </w:r>
          <w:r>
            <w:rPr>
              <w:szCs w:val="21"/>
            </w:rPr>
            <w:fldChar w:fldCharType="begin"/>
          </w:r>
          <w:r>
            <w:rPr>
              <w:szCs w:val="21"/>
            </w:rPr>
            <w:instrText xml:space="preserve"> PAGEREF _Toc113008478 \h </w:instrText>
          </w:r>
          <w:r>
            <w:rPr>
              <w:szCs w:val="21"/>
            </w:rPr>
            <w:fldChar w:fldCharType="separate"/>
          </w:r>
          <w:r>
            <w:rPr>
              <w:szCs w:val="21"/>
            </w:rPr>
            <w:t>1</w:t>
          </w:r>
          <w:r>
            <w:rPr>
              <w:szCs w:val="21"/>
            </w:rPr>
            <w:fldChar w:fldCharType="end"/>
          </w:r>
          <w:r>
            <w:rPr>
              <w:szCs w:val="21"/>
            </w:rPr>
            <w:fldChar w:fldCharType="end"/>
          </w:r>
        </w:p>
        <w:p>
          <w:pPr>
            <w:pStyle w:val="11"/>
            <w:rPr>
              <w:rStyle w:val="15"/>
              <w:rFonts w:hint="eastAsia" w:ascii="黑体" w:hAnsi="黑体" w:eastAsia="宋体" w:cstheme="minorBidi"/>
              <w:szCs w:val="21"/>
              <w:lang w:val="en-US" w:eastAsia="zh-CN"/>
            </w:rPr>
          </w:pPr>
          <w:r>
            <w:rPr>
              <w:rFonts w:hint="eastAsia"/>
              <w:lang w:eastAsia="zh-CN"/>
            </w:rPr>
            <w:t>三、</w:t>
          </w:r>
          <w:r>
            <w:rPr>
              <w:rFonts w:hint="eastAsia" w:ascii="黑体" w:hAnsi="黑体" w:eastAsia="黑体" w:cs="黑体"/>
              <w:lang w:eastAsia="zh-CN"/>
            </w:rPr>
            <w:t>机构设置情况</w:t>
          </w:r>
          <w:r>
            <w:tab/>
          </w:r>
          <w:r>
            <w:rPr>
              <w:rFonts w:hint="eastAsia"/>
              <w:lang w:val="en-US" w:eastAsia="zh-CN"/>
            </w:rPr>
            <w:t>6</w:t>
          </w:r>
        </w:p>
        <w:p>
          <w:pPr>
            <w:pStyle w:val="10"/>
            <w:rPr>
              <w:rFonts w:asciiTheme="minorHAnsi" w:hAnsiTheme="minorHAnsi" w:eastAsiaTheme="minorEastAsia" w:cstheme="minorBidi"/>
              <w:sz w:val="21"/>
              <w:szCs w:val="21"/>
            </w:rPr>
          </w:pPr>
          <w:r>
            <w:fldChar w:fldCharType="begin"/>
          </w:r>
          <w:r>
            <w:instrText xml:space="preserve"> HYPERLINK \l "_Toc113008479" </w:instrText>
          </w:r>
          <w:r>
            <w:fldChar w:fldCharType="separate"/>
          </w:r>
          <w:r>
            <w:rPr>
              <w:rStyle w:val="15"/>
              <w:rFonts w:hint="eastAsia" w:ascii="黑体" w:hAnsi="黑体" w:eastAsia="黑体"/>
              <w:sz w:val="21"/>
              <w:szCs w:val="21"/>
            </w:rPr>
            <w:t>第二部分</w:t>
          </w:r>
          <w:r>
            <w:rPr>
              <w:rStyle w:val="15"/>
              <w:rFonts w:ascii="黑体" w:hAnsi="黑体" w:eastAsia="黑体"/>
              <w:sz w:val="21"/>
              <w:szCs w:val="21"/>
            </w:rPr>
            <w:t xml:space="preserve"> 2021</w:t>
          </w:r>
          <w:r>
            <w:rPr>
              <w:rStyle w:val="15"/>
              <w:rFonts w:hint="eastAsia" w:ascii="黑体" w:hAnsi="黑体" w:eastAsia="黑体"/>
              <w:sz w:val="21"/>
              <w:szCs w:val="21"/>
            </w:rPr>
            <w:t>年度单位决算情况说明</w:t>
          </w:r>
          <w:r>
            <w:rPr>
              <w:sz w:val="21"/>
              <w:szCs w:val="21"/>
            </w:rPr>
            <w:tab/>
          </w:r>
          <w:r>
            <w:rPr>
              <w:sz w:val="21"/>
              <w:szCs w:val="21"/>
            </w:rPr>
            <w:fldChar w:fldCharType="begin"/>
          </w:r>
          <w:r>
            <w:rPr>
              <w:sz w:val="21"/>
              <w:szCs w:val="21"/>
            </w:rPr>
            <w:instrText xml:space="preserve"> PAGEREF _Toc113008479 \h </w:instrText>
          </w:r>
          <w:r>
            <w:rPr>
              <w:sz w:val="21"/>
              <w:szCs w:val="21"/>
            </w:rPr>
            <w:fldChar w:fldCharType="separate"/>
          </w:r>
          <w:r>
            <w:rPr>
              <w:sz w:val="21"/>
              <w:szCs w:val="21"/>
            </w:rPr>
            <w:t>7</w:t>
          </w:r>
          <w:r>
            <w:rPr>
              <w:sz w:val="21"/>
              <w:szCs w:val="21"/>
            </w:rPr>
            <w:fldChar w:fldCharType="end"/>
          </w:r>
          <w:r>
            <w:rPr>
              <w:sz w:val="21"/>
              <w:szCs w:val="21"/>
            </w:rPr>
            <w:fldChar w:fldCharType="end"/>
          </w:r>
        </w:p>
        <w:p>
          <w:pPr>
            <w:pStyle w:val="11"/>
            <w:rPr>
              <w:rFonts w:asciiTheme="minorHAnsi" w:hAnsiTheme="minorHAnsi" w:eastAsiaTheme="minorEastAsia" w:cstheme="minorBidi"/>
              <w:szCs w:val="21"/>
            </w:rPr>
          </w:pPr>
          <w:r>
            <w:fldChar w:fldCharType="begin"/>
          </w:r>
          <w:r>
            <w:instrText xml:space="preserve"> HYPERLINK \l "_Toc113008480" </w:instrText>
          </w:r>
          <w:r>
            <w:fldChar w:fldCharType="separate"/>
          </w:r>
          <w:r>
            <w:rPr>
              <w:rStyle w:val="15"/>
              <w:rFonts w:hint="eastAsia" w:ascii="黑体" w:hAnsi="黑体" w:eastAsia="黑体"/>
              <w:szCs w:val="21"/>
            </w:rPr>
            <w:t>一、收</w:t>
          </w:r>
          <w:r>
            <w:rPr>
              <w:rStyle w:val="15"/>
              <w:rFonts w:hint="eastAsia" w:ascii="黑体" w:hAnsi="黑体" w:eastAsia="黑体" w:cstheme="majorBidi"/>
              <w:bCs/>
              <w:szCs w:val="21"/>
            </w:rPr>
            <w:t>入支出决算总体情况说明</w:t>
          </w:r>
          <w:r>
            <w:rPr>
              <w:szCs w:val="21"/>
            </w:rPr>
            <w:tab/>
          </w:r>
          <w:r>
            <w:rPr>
              <w:szCs w:val="21"/>
            </w:rPr>
            <w:fldChar w:fldCharType="begin"/>
          </w:r>
          <w:r>
            <w:rPr>
              <w:szCs w:val="21"/>
            </w:rPr>
            <w:instrText xml:space="preserve"> PAGEREF _Toc113008480 \h </w:instrText>
          </w:r>
          <w:r>
            <w:rPr>
              <w:szCs w:val="21"/>
            </w:rPr>
            <w:fldChar w:fldCharType="separate"/>
          </w:r>
          <w:r>
            <w:rPr>
              <w:szCs w:val="21"/>
            </w:rPr>
            <w:t>7</w:t>
          </w:r>
          <w:r>
            <w:rPr>
              <w:szCs w:val="21"/>
            </w:rPr>
            <w:fldChar w:fldCharType="end"/>
          </w:r>
          <w:r>
            <w:rPr>
              <w:szCs w:val="21"/>
            </w:rPr>
            <w:fldChar w:fldCharType="end"/>
          </w:r>
        </w:p>
        <w:p>
          <w:pPr>
            <w:pStyle w:val="11"/>
            <w:rPr>
              <w:rFonts w:asciiTheme="minorHAnsi" w:hAnsiTheme="minorHAnsi" w:eastAsiaTheme="minorEastAsia" w:cstheme="minorBidi"/>
              <w:szCs w:val="21"/>
            </w:rPr>
          </w:pPr>
          <w:r>
            <w:fldChar w:fldCharType="begin"/>
          </w:r>
          <w:r>
            <w:instrText xml:space="preserve"> HYPERLINK \l "_Toc113008481" </w:instrText>
          </w:r>
          <w:r>
            <w:fldChar w:fldCharType="separate"/>
          </w:r>
          <w:r>
            <w:rPr>
              <w:rStyle w:val="15"/>
              <w:rFonts w:hint="eastAsia" w:ascii="黑体" w:hAnsi="黑体" w:eastAsia="黑体"/>
              <w:szCs w:val="21"/>
            </w:rPr>
            <w:t>二、收</w:t>
          </w:r>
          <w:r>
            <w:rPr>
              <w:rStyle w:val="15"/>
              <w:rFonts w:hint="eastAsia" w:ascii="黑体" w:hAnsi="黑体" w:eastAsia="黑体" w:cstheme="majorBidi"/>
              <w:bCs/>
              <w:szCs w:val="21"/>
            </w:rPr>
            <w:t>入决算情况说明</w:t>
          </w:r>
          <w:r>
            <w:rPr>
              <w:szCs w:val="21"/>
            </w:rPr>
            <w:tab/>
          </w:r>
          <w:r>
            <w:rPr>
              <w:szCs w:val="21"/>
            </w:rPr>
            <w:fldChar w:fldCharType="begin"/>
          </w:r>
          <w:r>
            <w:rPr>
              <w:szCs w:val="21"/>
            </w:rPr>
            <w:instrText xml:space="preserve"> PAGEREF _Toc113008481 \h </w:instrText>
          </w:r>
          <w:r>
            <w:rPr>
              <w:szCs w:val="21"/>
            </w:rPr>
            <w:fldChar w:fldCharType="separate"/>
          </w:r>
          <w:r>
            <w:rPr>
              <w:szCs w:val="21"/>
            </w:rPr>
            <w:t>7</w:t>
          </w:r>
          <w:r>
            <w:rPr>
              <w:szCs w:val="21"/>
            </w:rPr>
            <w:fldChar w:fldCharType="end"/>
          </w:r>
          <w:r>
            <w:rPr>
              <w:szCs w:val="21"/>
            </w:rPr>
            <w:fldChar w:fldCharType="end"/>
          </w:r>
        </w:p>
        <w:p>
          <w:pPr>
            <w:pStyle w:val="11"/>
            <w:rPr>
              <w:rFonts w:asciiTheme="minorHAnsi" w:hAnsiTheme="minorHAnsi" w:eastAsiaTheme="minorEastAsia" w:cstheme="minorBidi"/>
              <w:szCs w:val="21"/>
            </w:rPr>
          </w:pPr>
          <w:r>
            <w:fldChar w:fldCharType="begin"/>
          </w:r>
          <w:r>
            <w:instrText xml:space="preserve"> HYPERLINK \l "_Toc113008482" </w:instrText>
          </w:r>
          <w:r>
            <w:fldChar w:fldCharType="separate"/>
          </w:r>
          <w:r>
            <w:rPr>
              <w:rStyle w:val="15"/>
              <w:rFonts w:hint="eastAsia" w:ascii="黑体" w:hAnsi="黑体" w:eastAsia="黑体"/>
              <w:szCs w:val="21"/>
            </w:rPr>
            <w:t>三、支</w:t>
          </w:r>
          <w:r>
            <w:rPr>
              <w:rStyle w:val="15"/>
              <w:rFonts w:hint="eastAsia" w:ascii="黑体" w:hAnsi="黑体" w:eastAsia="黑体" w:cstheme="majorBidi"/>
              <w:bCs/>
              <w:szCs w:val="21"/>
            </w:rPr>
            <w:t>出决算情况说明</w:t>
          </w:r>
          <w:r>
            <w:rPr>
              <w:szCs w:val="21"/>
            </w:rPr>
            <w:tab/>
          </w:r>
          <w:r>
            <w:rPr>
              <w:szCs w:val="21"/>
            </w:rPr>
            <w:fldChar w:fldCharType="begin"/>
          </w:r>
          <w:r>
            <w:rPr>
              <w:szCs w:val="21"/>
            </w:rPr>
            <w:instrText xml:space="preserve"> PAGEREF _Toc113008482 \h </w:instrText>
          </w:r>
          <w:r>
            <w:rPr>
              <w:szCs w:val="21"/>
            </w:rPr>
            <w:fldChar w:fldCharType="separate"/>
          </w:r>
          <w:r>
            <w:rPr>
              <w:szCs w:val="21"/>
            </w:rPr>
            <w:t>8</w:t>
          </w:r>
          <w:r>
            <w:rPr>
              <w:szCs w:val="21"/>
            </w:rPr>
            <w:fldChar w:fldCharType="end"/>
          </w:r>
          <w:r>
            <w:rPr>
              <w:szCs w:val="21"/>
            </w:rPr>
            <w:fldChar w:fldCharType="end"/>
          </w:r>
        </w:p>
        <w:p>
          <w:pPr>
            <w:pStyle w:val="11"/>
            <w:rPr>
              <w:rFonts w:asciiTheme="minorHAnsi" w:hAnsiTheme="minorHAnsi" w:eastAsiaTheme="minorEastAsia" w:cstheme="minorBidi"/>
              <w:szCs w:val="21"/>
            </w:rPr>
          </w:pPr>
          <w:r>
            <w:fldChar w:fldCharType="begin"/>
          </w:r>
          <w:r>
            <w:instrText xml:space="preserve"> HYPERLINK \l "_Toc113008483" </w:instrText>
          </w:r>
          <w:r>
            <w:fldChar w:fldCharType="separate"/>
          </w:r>
          <w:r>
            <w:rPr>
              <w:rStyle w:val="15"/>
              <w:rFonts w:hint="eastAsia" w:ascii="黑体" w:hAnsi="黑体" w:eastAsia="黑体"/>
              <w:szCs w:val="21"/>
            </w:rPr>
            <w:t>四、财</w:t>
          </w:r>
          <w:r>
            <w:rPr>
              <w:rStyle w:val="15"/>
              <w:rFonts w:hint="eastAsia" w:ascii="黑体" w:hAnsi="黑体" w:eastAsia="黑体" w:cstheme="majorBidi"/>
              <w:bCs/>
              <w:szCs w:val="21"/>
            </w:rPr>
            <w:t>政拨款收入支出决算总体情况说明</w:t>
          </w:r>
          <w:r>
            <w:rPr>
              <w:szCs w:val="21"/>
            </w:rPr>
            <w:tab/>
          </w:r>
          <w:r>
            <w:rPr>
              <w:szCs w:val="21"/>
            </w:rPr>
            <w:fldChar w:fldCharType="begin"/>
          </w:r>
          <w:r>
            <w:rPr>
              <w:szCs w:val="21"/>
            </w:rPr>
            <w:instrText xml:space="preserve"> PAGEREF _Toc113008483 \h </w:instrText>
          </w:r>
          <w:r>
            <w:rPr>
              <w:szCs w:val="21"/>
            </w:rPr>
            <w:fldChar w:fldCharType="separate"/>
          </w:r>
          <w:r>
            <w:rPr>
              <w:szCs w:val="21"/>
            </w:rPr>
            <w:t>8</w:t>
          </w:r>
          <w:r>
            <w:rPr>
              <w:szCs w:val="21"/>
            </w:rPr>
            <w:fldChar w:fldCharType="end"/>
          </w:r>
          <w:r>
            <w:rPr>
              <w:szCs w:val="21"/>
            </w:rPr>
            <w:fldChar w:fldCharType="end"/>
          </w:r>
        </w:p>
        <w:p>
          <w:pPr>
            <w:pStyle w:val="11"/>
            <w:rPr>
              <w:rFonts w:asciiTheme="minorHAnsi" w:hAnsiTheme="minorHAnsi" w:eastAsiaTheme="minorEastAsia" w:cstheme="minorBidi"/>
              <w:szCs w:val="21"/>
            </w:rPr>
          </w:pPr>
          <w:r>
            <w:fldChar w:fldCharType="begin"/>
          </w:r>
          <w:r>
            <w:instrText xml:space="preserve"> HYPERLINK \l "_Toc113008484" </w:instrText>
          </w:r>
          <w:r>
            <w:fldChar w:fldCharType="separate"/>
          </w:r>
          <w:r>
            <w:rPr>
              <w:rStyle w:val="15"/>
              <w:rFonts w:hint="eastAsia" w:ascii="黑体" w:hAnsi="黑体" w:eastAsia="黑体"/>
              <w:szCs w:val="21"/>
            </w:rPr>
            <w:t>五、</w:t>
          </w:r>
          <w:r>
            <w:rPr>
              <w:rStyle w:val="15"/>
              <w:rFonts w:hint="eastAsia" w:ascii="黑体" w:hAnsi="黑体" w:eastAsia="黑体"/>
              <w:b/>
              <w:szCs w:val="21"/>
            </w:rPr>
            <w:t>一</w:t>
          </w:r>
          <w:r>
            <w:rPr>
              <w:rStyle w:val="15"/>
              <w:rFonts w:hint="eastAsia" w:ascii="黑体" w:hAnsi="黑体" w:eastAsia="黑体" w:cstheme="majorBidi"/>
              <w:bCs/>
              <w:szCs w:val="21"/>
            </w:rPr>
            <w:t>般公共预算财政拨款支出决算情况说明</w:t>
          </w:r>
          <w:r>
            <w:rPr>
              <w:szCs w:val="21"/>
            </w:rPr>
            <w:tab/>
          </w:r>
          <w:r>
            <w:rPr>
              <w:szCs w:val="21"/>
            </w:rPr>
            <w:fldChar w:fldCharType="begin"/>
          </w:r>
          <w:r>
            <w:rPr>
              <w:szCs w:val="21"/>
            </w:rPr>
            <w:instrText xml:space="preserve"> PAGEREF _Toc113008484 \h </w:instrText>
          </w:r>
          <w:r>
            <w:rPr>
              <w:szCs w:val="21"/>
            </w:rPr>
            <w:fldChar w:fldCharType="separate"/>
          </w:r>
          <w:r>
            <w:rPr>
              <w:szCs w:val="21"/>
            </w:rPr>
            <w:t>9</w:t>
          </w:r>
          <w:r>
            <w:rPr>
              <w:szCs w:val="21"/>
            </w:rPr>
            <w:fldChar w:fldCharType="end"/>
          </w:r>
          <w:r>
            <w:rPr>
              <w:szCs w:val="21"/>
            </w:rPr>
            <w:fldChar w:fldCharType="end"/>
          </w:r>
        </w:p>
        <w:p>
          <w:pPr>
            <w:pStyle w:val="11"/>
            <w:rPr>
              <w:rFonts w:asciiTheme="minorHAnsi" w:hAnsiTheme="minorHAnsi" w:eastAsiaTheme="minorEastAsia" w:cstheme="minorBidi"/>
              <w:szCs w:val="21"/>
            </w:rPr>
          </w:pPr>
          <w:r>
            <w:fldChar w:fldCharType="begin"/>
          </w:r>
          <w:r>
            <w:instrText xml:space="preserve"> HYPERLINK \l "_Toc113008485" </w:instrText>
          </w:r>
          <w:r>
            <w:fldChar w:fldCharType="separate"/>
          </w:r>
          <w:r>
            <w:rPr>
              <w:rStyle w:val="15"/>
              <w:rFonts w:hint="eastAsia" w:ascii="黑体" w:eastAsia="黑体"/>
              <w:szCs w:val="21"/>
            </w:rPr>
            <w:t>六</w:t>
          </w:r>
          <w:r>
            <w:rPr>
              <w:rStyle w:val="15"/>
              <w:rFonts w:hint="eastAsia" w:ascii="黑体" w:eastAsia="黑体"/>
              <w:b/>
              <w:szCs w:val="21"/>
            </w:rPr>
            <w:t>、</w:t>
          </w:r>
          <w:r>
            <w:rPr>
              <w:rStyle w:val="15"/>
              <w:rFonts w:hint="eastAsia" w:ascii="黑体" w:hAnsi="黑体" w:eastAsia="黑体"/>
              <w:b/>
              <w:szCs w:val="21"/>
            </w:rPr>
            <w:t>一</w:t>
          </w:r>
          <w:r>
            <w:rPr>
              <w:rStyle w:val="15"/>
              <w:rFonts w:hint="eastAsia" w:ascii="黑体" w:hAnsi="黑体" w:eastAsia="黑体" w:cstheme="majorBidi"/>
              <w:bCs/>
              <w:szCs w:val="21"/>
            </w:rPr>
            <w:t>般公共预算财政拨款基本支出决算情况说明</w:t>
          </w:r>
          <w:r>
            <w:rPr>
              <w:szCs w:val="21"/>
            </w:rPr>
            <w:tab/>
          </w:r>
          <w:r>
            <w:rPr>
              <w:szCs w:val="21"/>
            </w:rPr>
            <w:fldChar w:fldCharType="begin"/>
          </w:r>
          <w:r>
            <w:rPr>
              <w:szCs w:val="21"/>
            </w:rPr>
            <w:instrText xml:space="preserve"> PAGEREF _Toc113008485 \h </w:instrText>
          </w:r>
          <w:r>
            <w:rPr>
              <w:szCs w:val="21"/>
            </w:rPr>
            <w:fldChar w:fldCharType="separate"/>
          </w:r>
          <w:r>
            <w:rPr>
              <w:szCs w:val="21"/>
            </w:rPr>
            <w:t>12</w:t>
          </w:r>
          <w:r>
            <w:rPr>
              <w:szCs w:val="21"/>
            </w:rPr>
            <w:fldChar w:fldCharType="end"/>
          </w:r>
          <w:r>
            <w:rPr>
              <w:szCs w:val="21"/>
            </w:rPr>
            <w:fldChar w:fldCharType="end"/>
          </w:r>
        </w:p>
        <w:p>
          <w:pPr>
            <w:pStyle w:val="11"/>
            <w:rPr>
              <w:rFonts w:asciiTheme="minorHAnsi" w:hAnsiTheme="minorHAnsi" w:eastAsiaTheme="minorEastAsia" w:cstheme="minorBidi"/>
              <w:szCs w:val="21"/>
            </w:rPr>
          </w:pPr>
          <w:r>
            <w:fldChar w:fldCharType="begin"/>
          </w:r>
          <w:r>
            <w:instrText xml:space="preserve"> HYPERLINK \l "_Toc113008486" </w:instrText>
          </w:r>
          <w:r>
            <w:fldChar w:fldCharType="separate"/>
          </w:r>
          <w:r>
            <w:rPr>
              <w:rStyle w:val="15"/>
              <w:rFonts w:hint="eastAsia" w:ascii="黑体" w:eastAsia="黑体"/>
              <w:szCs w:val="21"/>
            </w:rPr>
            <w:t>七、</w:t>
          </w:r>
          <w:r>
            <w:rPr>
              <w:rStyle w:val="15"/>
              <w:rFonts w:ascii="黑体" w:hAnsi="黑体" w:eastAsia="黑体" w:cstheme="majorBidi"/>
              <w:b/>
              <w:bCs/>
              <w:szCs w:val="21"/>
            </w:rPr>
            <w:t>“</w:t>
          </w:r>
          <w:r>
            <w:rPr>
              <w:rStyle w:val="15"/>
              <w:rFonts w:hint="eastAsia" w:ascii="黑体" w:hAnsi="黑体" w:eastAsia="黑体" w:cstheme="majorBidi"/>
              <w:bCs/>
              <w:szCs w:val="21"/>
            </w:rPr>
            <w:t>三公”经费财政拨款支出决算情况说明</w:t>
          </w:r>
          <w:r>
            <w:rPr>
              <w:szCs w:val="21"/>
            </w:rPr>
            <w:tab/>
          </w:r>
          <w:r>
            <w:rPr>
              <w:szCs w:val="21"/>
            </w:rPr>
            <w:fldChar w:fldCharType="begin"/>
          </w:r>
          <w:r>
            <w:rPr>
              <w:szCs w:val="21"/>
            </w:rPr>
            <w:instrText xml:space="preserve"> PAGEREF _Toc113008486 \h </w:instrText>
          </w:r>
          <w:r>
            <w:rPr>
              <w:szCs w:val="21"/>
            </w:rPr>
            <w:fldChar w:fldCharType="separate"/>
          </w:r>
          <w:r>
            <w:rPr>
              <w:szCs w:val="21"/>
            </w:rPr>
            <w:t>13</w:t>
          </w:r>
          <w:r>
            <w:rPr>
              <w:szCs w:val="21"/>
            </w:rPr>
            <w:fldChar w:fldCharType="end"/>
          </w:r>
          <w:r>
            <w:rPr>
              <w:szCs w:val="21"/>
            </w:rPr>
            <w:fldChar w:fldCharType="end"/>
          </w:r>
        </w:p>
        <w:p>
          <w:pPr>
            <w:pStyle w:val="11"/>
            <w:rPr>
              <w:rFonts w:asciiTheme="minorHAnsi" w:hAnsiTheme="minorHAnsi" w:eastAsiaTheme="minorEastAsia" w:cstheme="minorBidi"/>
              <w:szCs w:val="21"/>
            </w:rPr>
          </w:pPr>
          <w:r>
            <w:fldChar w:fldCharType="begin"/>
          </w:r>
          <w:r>
            <w:instrText xml:space="preserve"> HYPERLINK \l "_Toc113008487" </w:instrText>
          </w:r>
          <w:r>
            <w:fldChar w:fldCharType="separate"/>
          </w:r>
          <w:r>
            <w:rPr>
              <w:rStyle w:val="15"/>
              <w:rFonts w:hint="eastAsia" w:ascii="黑体" w:eastAsia="黑体"/>
              <w:szCs w:val="21"/>
            </w:rPr>
            <w:t>八、</w:t>
          </w:r>
          <w:r>
            <w:rPr>
              <w:rStyle w:val="15"/>
              <w:rFonts w:hint="eastAsia" w:ascii="黑体" w:hAnsi="黑体" w:eastAsia="黑体" w:cstheme="majorBidi"/>
              <w:bCs/>
              <w:szCs w:val="21"/>
            </w:rPr>
            <w:t>政府性基金预算支出决算情况说明</w:t>
          </w:r>
          <w:r>
            <w:rPr>
              <w:szCs w:val="21"/>
            </w:rPr>
            <w:tab/>
          </w:r>
          <w:r>
            <w:rPr>
              <w:szCs w:val="21"/>
            </w:rPr>
            <w:fldChar w:fldCharType="begin"/>
          </w:r>
          <w:r>
            <w:rPr>
              <w:szCs w:val="21"/>
            </w:rPr>
            <w:instrText xml:space="preserve"> PAGEREF _Toc113008487 \h </w:instrText>
          </w:r>
          <w:r>
            <w:rPr>
              <w:szCs w:val="21"/>
            </w:rPr>
            <w:fldChar w:fldCharType="separate"/>
          </w:r>
          <w:r>
            <w:rPr>
              <w:szCs w:val="21"/>
            </w:rPr>
            <w:t>15</w:t>
          </w:r>
          <w:r>
            <w:rPr>
              <w:szCs w:val="21"/>
            </w:rPr>
            <w:fldChar w:fldCharType="end"/>
          </w:r>
          <w:r>
            <w:rPr>
              <w:szCs w:val="21"/>
            </w:rPr>
            <w:fldChar w:fldCharType="end"/>
          </w:r>
        </w:p>
        <w:p>
          <w:pPr>
            <w:pStyle w:val="11"/>
            <w:rPr>
              <w:rFonts w:asciiTheme="minorHAnsi" w:hAnsiTheme="minorHAnsi" w:eastAsiaTheme="minorEastAsia" w:cstheme="minorBidi"/>
              <w:szCs w:val="21"/>
            </w:rPr>
          </w:pPr>
          <w:r>
            <w:fldChar w:fldCharType="begin"/>
          </w:r>
          <w:r>
            <w:instrText xml:space="preserve"> HYPERLINK \l "_Toc113008488" </w:instrText>
          </w:r>
          <w:r>
            <w:fldChar w:fldCharType="separate"/>
          </w:r>
          <w:r>
            <w:rPr>
              <w:rStyle w:val="15"/>
              <w:rFonts w:hint="eastAsia" w:ascii="黑体" w:hAnsi="黑体" w:eastAsia="黑体" w:cstheme="majorBidi"/>
              <w:bCs/>
              <w:szCs w:val="21"/>
            </w:rPr>
            <w:t>九、国有资本经营预算支出决算情况说明</w:t>
          </w:r>
          <w:r>
            <w:rPr>
              <w:szCs w:val="21"/>
            </w:rPr>
            <w:tab/>
          </w:r>
          <w:r>
            <w:rPr>
              <w:szCs w:val="21"/>
            </w:rPr>
            <w:fldChar w:fldCharType="begin"/>
          </w:r>
          <w:r>
            <w:rPr>
              <w:szCs w:val="21"/>
            </w:rPr>
            <w:instrText xml:space="preserve"> PAGEREF _Toc113008488 \h </w:instrText>
          </w:r>
          <w:r>
            <w:rPr>
              <w:szCs w:val="21"/>
            </w:rPr>
            <w:fldChar w:fldCharType="separate"/>
          </w:r>
          <w:r>
            <w:rPr>
              <w:szCs w:val="21"/>
            </w:rPr>
            <w:t>15</w:t>
          </w:r>
          <w:r>
            <w:rPr>
              <w:szCs w:val="21"/>
            </w:rPr>
            <w:fldChar w:fldCharType="end"/>
          </w:r>
          <w:r>
            <w:rPr>
              <w:szCs w:val="21"/>
            </w:rPr>
            <w:fldChar w:fldCharType="end"/>
          </w:r>
        </w:p>
        <w:p>
          <w:pPr>
            <w:pStyle w:val="11"/>
            <w:rPr>
              <w:rFonts w:asciiTheme="minorHAnsi" w:hAnsiTheme="minorHAnsi" w:eastAsiaTheme="minorEastAsia" w:cstheme="minorBidi"/>
              <w:szCs w:val="21"/>
            </w:rPr>
          </w:pPr>
          <w:r>
            <w:fldChar w:fldCharType="begin"/>
          </w:r>
          <w:r>
            <w:instrText xml:space="preserve"> HYPERLINK \l "_Toc113008489" </w:instrText>
          </w:r>
          <w:r>
            <w:fldChar w:fldCharType="separate"/>
          </w:r>
          <w:r>
            <w:rPr>
              <w:rStyle w:val="15"/>
              <w:rFonts w:hint="eastAsia" w:ascii="黑体" w:hAnsi="黑体" w:eastAsia="黑体" w:cstheme="majorBidi"/>
              <w:bCs/>
              <w:szCs w:val="21"/>
            </w:rPr>
            <w:t>十、其他重要事项的情况说明</w:t>
          </w:r>
          <w:r>
            <w:rPr>
              <w:szCs w:val="21"/>
            </w:rPr>
            <w:tab/>
          </w:r>
          <w:r>
            <w:rPr>
              <w:szCs w:val="21"/>
            </w:rPr>
            <w:fldChar w:fldCharType="begin"/>
          </w:r>
          <w:r>
            <w:rPr>
              <w:szCs w:val="21"/>
            </w:rPr>
            <w:instrText xml:space="preserve"> PAGEREF _Toc113008489 \h </w:instrText>
          </w:r>
          <w:r>
            <w:rPr>
              <w:szCs w:val="21"/>
            </w:rPr>
            <w:fldChar w:fldCharType="separate"/>
          </w:r>
          <w:r>
            <w:rPr>
              <w:szCs w:val="21"/>
            </w:rPr>
            <w:t>15</w:t>
          </w:r>
          <w:r>
            <w:rPr>
              <w:szCs w:val="21"/>
            </w:rPr>
            <w:fldChar w:fldCharType="end"/>
          </w:r>
          <w:r>
            <w:rPr>
              <w:szCs w:val="21"/>
            </w:rPr>
            <w:fldChar w:fldCharType="end"/>
          </w:r>
        </w:p>
        <w:p>
          <w:pPr>
            <w:pStyle w:val="10"/>
            <w:rPr>
              <w:rFonts w:asciiTheme="minorHAnsi" w:hAnsiTheme="minorHAnsi" w:eastAsiaTheme="minorEastAsia" w:cstheme="minorBidi"/>
              <w:sz w:val="21"/>
              <w:szCs w:val="21"/>
            </w:rPr>
          </w:pPr>
          <w:r>
            <w:fldChar w:fldCharType="begin"/>
          </w:r>
          <w:r>
            <w:instrText xml:space="preserve"> HYPERLINK \l "_Toc113008490" </w:instrText>
          </w:r>
          <w:r>
            <w:fldChar w:fldCharType="separate"/>
          </w:r>
          <w:r>
            <w:rPr>
              <w:rStyle w:val="15"/>
              <w:rFonts w:hint="eastAsia" w:ascii="黑体" w:hAnsi="黑体" w:eastAsia="黑体" w:cs="黑体"/>
              <w:bCs/>
              <w:kern w:val="44"/>
              <w:sz w:val="21"/>
              <w:szCs w:val="21"/>
            </w:rPr>
            <w:t>第三部分</w:t>
          </w:r>
          <w:r>
            <w:rPr>
              <w:rStyle w:val="15"/>
              <w:rFonts w:hint="eastAsia" w:ascii="黑体" w:hAnsi="黑体" w:eastAsia="黑体"/>
              <w:sz w:val="21"/>
              <w:szCs w:val="21"/>
            </w:rPr>
            <w:t xml:space="preserve"> 名</w:t>
          </w:r>
          <w:r>
            <w:rPr>
              <w:rStyle w:val="15"/>
              <w:rFonts w:hint="eastAsia" w:ascii="黑体" w:hAnsi="黑体" w:eastAsia="黑体"/>
              <w:bCs/>
              <w:kern w:val="44"/>
              <w:sz w:val="21"/>
              <w:szCs w:val="21"/>
            </w:rPr>
            <w:t>词解释</w:t>
          </w:r>
          <w:r>
            <w:rPr>
              <w:sz w:val="21"/>
              <w:szCs w:val="21"/>
            </w:rPr>
            <w:tab/>
          </w:r>
          <w:r>
            <w:rPr>
              <w:sz w:val="21"/>
              <w:szCs w:val="21"/>
            </w:rPr>
            <w:fldChar w:fldCharType="begin"/>
          </w:r>
          <w:r>
            <w:rPr>
              <w:sz w:val="21"/>
              <w:szCs w:val="21"/>
            </w:rPr>
            <w:instrText xml:space="preserve"> PAGEREF _Toc113008490 \h </w:instrText>
          </w:r>
          <w:r>
            <w:rPr>
              <w:sz w:val="21"/>
              <w:szCs w:val="21"/>
            </w:rPr>
            <w:fldChar w:fldCharType="separate"/>
          </w:r>
          <w:r>
            <w:rPr>
              <w:sz w:val="21"/>
              <w:szCs w:val="21"/>
            </w:rPr>
            <w:t>18</w:t>
          </w:r>
          <w:r>
            <w:rPr>
              <w:sz w:val="21"/>
              <w:szCs w:val="21"/>
            </w:rPr>
            <w:fldChar w:fldCharType="end"/>
          </w:r>
          <w:r>
            <w:rPr>
              <w:sz w:val="21"/>
              <w:szCs w:val="21"/>
            </w:rPr>
            <w:fldChar w:fldCharType="end"/>
          </w:r>
        </w:p>
        <w:p>
          <w:pPr>
            <w:pStyle w:val="10"/>
            <w:rPr>
              <w:rFonts w:asciiTheme="minorHAnsi" w:hAnsiTheme="minorHAnsi" w:eastAsiaTheme="minorEastAsia" w:cstheme="minorBidi"/>
              <w:sz w:val="21"/>
              <w:szCs w:val="21"/>
            </w:rPr>
          </w:pPr>
          <w:r>
            <w:fldChar w:fldCharType="begin"/>
          </w:r>
          <w:r>
            <w:instrText xml:space="preserve"> HYPERLINK \l "_Toc113008491" </w:instrText>
          </w:r>
          <w:r>
            <w:fldChar w:fldCharType="separate"/>
          </w:r>
          <w:r>
            <w:rPr>
              <w:rStyle w:val="15"/>
              <w:rFonts w:hint="eastAsia" w:ascii="黑体" w:hAnsi="黑体" w:eastAsia="黑体"/>
              <w:sz w:val="21"/>
              <w:szCs w:val="21"/>
            </w:rPr>
            <w:t>第</w:t>
          </w:r>
          <w:r>
            <w:rPr>
              <w:rStyle w:val="15"/>
              <w:rFonts w:hint="eastAsia" w:ascii="黑体" w:hAnsi="黑体" w:eastAsia="黑体"/>
              <w:bCs/>
              <w:kern w:val="44"/>
              <w:sz w:val="21"/>
              <w:szCs w:val="21"/>
            </w:rPr>
            <w:t>四部分附件</w:t>
          </w:r>
          <w:r>
            <w:rPr>
              <w:sz w:val="21"/>
              <w:szCs w:val="21"/>
            </w:rPr>
            <w:tab/>
          </w:r>
          <w:r>
            <w:rPr>
              <w:rFonts w:hint="eastAsia"/>
              <w:sz w:val="21"/>
              <w:szCs w:val="21"/>
            </w:rPr>
            <w:t>20</w:t>
          </w:r>
          <w:r>
            <w:rPr>
              <w:rFonts w:hint="eastAsia"/>
              <w:sz w:val="21"/>
              <w:szCs w:val="21"/>
            </w:rPr>
            <w:fldChar w:fldCharType="end"/>
          </w:r>
        </w:p>
        <w:p>
          <w:pPr>
            <w:pStyle w:val="10"/>
            <w:rPr>
              <w:rFonts w:asciiTheme="minorHAnsi" w:hAnsiTheme="minorHAnsi" w:eastAsiaTheme="minorEastAsia" w:cstheme="minorBidi"/>
              <w:sz w:val="21"/>
              <w:szCs w:val="22"/>
            </w:rPr>
          </w:pPr>
          <w:r>
            <w:fldChar w:fldCharType="begin"/>
          </w:r>
          <w:r>
            <w:instrText xml:space="preserve"> HYPERLINK \l "_Toc113008492" </w:instrText>
          </w:r>
          <w:r>
            <w:fldChar w:fldCharType="separate"/>
          </w:r>
          <w:r>
            <w:rPr>
              <w:rStyle w:val="15"/>
              <w:rFonts w:hint="eastAsia" w:eastAsia="黑体"/>
              <w:sz w:val="21"/>
              <w:szCs w:val="21"/>
            </w:rPr>
            <w:t>第</w:t>
          </w:r>
          <w:r>
            <w:rPr>
              <w:rStyle w:val="15"/>
              <w:rFonts w:hint="eastAsia" w:eastAsia="黑体"/>
              <w:bCs/>
              <w:kern w:val="44"/>
              <w:sz w:val="21"/>
              <w:szCs w:val="21"/>
            </w:rPr>
            <w:t>五部分附表</w:t>
          </w:r>
          <w:r>
            <w:rPr>
              <w:sz w:val="21"/>
              <w:szCs w:val="21"/>
            </w:rPr>
            <w:tab/>
          </w:r>
          <w:r>
            <w:rPr>
              <w:sz w:val="21"/>
              <w:szCs w:val="21"/>
            </w:rPr>
            <w:fldChar w:fldCharType="begin"/>
          </w:r>
          <w:r>
            <w:rPr>
              <w:sz w:val="21"/>
              <w:szCs w:val="21"/>
            </w:rPr>
            <w:instrText xml:space="preserve"> PAGEREF _Toc113008492 \h </w:instrText>
          </w:r>
          <w:r>
            <w:rPr>
              <w:sz w:val="21"/>
              <w:szCs w:val="21"/>
            </w:rPr>
            <w:fldChar w:fldCharType="separate"/>
          </w:r>
          <w:r>
            <w:rPr>
              <w:sz w:val="21"/>
              <w:szCs w:val="21"/>
            </w:rPr>
            <w:t>32</w:t>
          </w:r>
          <w:r>
            <w:rPr>
              <w:sz w:val="21"/>
              <w:szCs w:val="21"/>
            </w:rPr>
            <w:fldChar w:fldCharType="end"/>
          </w:r>
          <w:r>
            <w:rPr>
              <w:sz w:val="21"/>
              <w:szCs w:val="21"/>
            </w:rPr>
            <w:fldChar w:fldCharType="end"/>
          </w:r>
        </w:p>
        <w:p>
          <w:pPr>
            <w:pStyle w:val="11"/>
            <w:rPr>
              <w:rFonts w:asciiTheme="minorHAnsi" w:hAnsiTheme="minorHAnsi" w:eastAsiaTheme="minorEastAsia" w:cstheme="minorBidi"/>
              <w:szCs w:val="22"/>
            </w:rPr>
          </w:pPr>
          <w:r>
            <w:fldChar w:fldCharType="begin"/>
          </w:r>
          <w:r>
            <w:instrText xml:space="preserve"> HYPERLINK \l "_Toc113008493" </w:instrText>
          </w:r>
          <w:r>
            <w:fldChar w:fldCharType="separate"/>
          </w:r>
          <w:r>
            <w:rPr>
              <w:rStyle w:val="15"/>
              <w:rFonts w:hint="eastAsia" w:eastAsia="仿宋"/>
            </w:rPr>
            <w:t>一、收入支出决算总表</w:t>
          </w:r>
          <w:r>
            <w:tab/>
          </w:r>
          <w:r>
            <w:fldChar w:fldCharType="begin"/>
          </w:r>
          <w:r>
            <w:instrText xml:space="preserve"> PAGEREF _Toc113008493 \h </w:instrText>
          </w:r>
          <w:r>
            <w:fldChar w:fldCharType="separate"/>
          </w:r>
          <w:r>
            <w:t>32</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"_Toc113008494" </w:instrText>
          </w:r>
          <w:r>
            <w:fldChar w:fldCharType="separate"/>
          </w:r>
          <w:r>
            <w:rPr>
              <w:rStyle w:val="15"/>
              <w:rFonts w:hint="eastAsia" w:eastAsia="仿宋"/>
            </w:rPr>
            <w:t>二、收入决算表</w:t>
          </w:r>
          <w:r>
            <w:tab/>
          </w:r>
          <w:r>
            <w:fldChar w:fldCharType="begin"/>
          </w:r>
          <w:r>
            <w:instrText xml:space="preserve"> PAGEREF _Toc113008494 \h </w:instrText>
          </w:r>
          <w:r>
            <w:fldChar w:fldCharType="separate"/>
          </w:r>
          <w:r>
            <w:t>32</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"_Toc113008495" </w:instrText>
          </w:r>
          <w:r>
            <w:fldChar w:fldCharType="separate"/>
          </w:r>
          <w:r>
            <w:rPr>
              <w:rStyle w:val="15"/>
              <w:rFonts w:hint="eastAsia" w:eastAsia="仿宋"/>
            </w:rPr>
            <w:t>三、支出决算表</w:t>
          </w:r>
          <w:r>
            <w:tab/>
          </w:r>
          <w:r>
            <w:fldChar w:fldCharType="begin"/>
          </w:r>
          <w:r>
            <w:instrText xml:space="preserve"> PAGEREF _Toc113008495 \h </w:instrText>
          </w:r>
          <w:r>
            <w:fldChar w:fldCharType="separate"/>
          </w:r>
          <w:r>
            <w:t>32</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"_Toc113008496" </w:instrText>
          </w:r>
          <w:r>
            <w:fldChar w:fldCharType="separate"/>
          </w:r>
          <w:r>
            <w:rPr>
              <w:rStyle w:val="15"/>
              <w:rFonts w:hint="eastAsia" w:eastAsia="仿宋"/>
            </w:rPr>
            <w:t>四、财政拨款收入支出决算总表</w:t>
          </w:r>
          <w:r>
            <w:tab/>
          </w:r>
          <w:r>
            <w:fldChar w:fldCharType="begin"/>
          </w:r>
          <w:r>
            <w:instrText xml:space="preserve"> PAGEREF _Toc113008496 \h </w:instrText>
          </w:r>
          <w:r>
            <w:fldChar w:fldCharType="separate"/>
          </w:r>
          <w:r>
            <w:t>32</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"_Toc113008497" </w:instrText>
          </w:r>
          <w:r>
            <w:fldChar w:fldCharType="separate"/>
          </w:r>
          <w:r>
            <w:rPr>
              <w:rStyle w:val="15"/>
              <w:rFonts w:hint="eastAsia" w:eastAsia="仿宋"/>
            </w:rPr>
            <w:t>五、财政拨款支出决算明细表</w:t>
          </w:r>
          <w:r>
            <w:tab/>
          </w:r>
          <w:r>
            <w:fldChar w:fldCharType="begin"/>
          </w:r>
          <w:r>
            <w:instrText xml:space="preserve"> PAGEREF _Toc113008497 \h </w:instrText>
          </w:r>
          <w:r>
            <w:fldChar w:fldCharType="separate"/>
          </w:r>
          <w:r>
            <w:t>32</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"_Toc113008498" </w:instrText>
          </w:r>
          <w:r>
            <w:fldChar w:fldCharType="separate"/>
          </w:r>
          <w:r>
            <w:rPr>
              <w:rStyle w:val="15"/>
              <w:rFonts w:hint="eastAsia" w:eastAsia="仿宋"/>
            </w:rPr>
            <w:t>六、一般公共预算财政拨款支出决算表</w:t>
          </w:r>
          <w:r>
            <w:tab/>
          </w:r>
          <w:r>
            <w:fldChar w:fldCharType="begin"/>
          </w:r>
          <w:r>
            <w:instrText xml:space="preserve"> PAGEREF _Toc113008498 \h </w:instrText>
          </w:r>
          <w:r>
            <w:fldChar w:fldCharType="separate"/>
          </w:r>
          <w:r>
            <w:t>32</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"_Toc113008499" </w:instrText>
          </w:r>
          <w:r>
            <w:fldChar w:fldCharType="separate"/>
          </w:r>
          <w:r>
            <w:rPr>
              <w:rStyle w:val="15"/>
              <w:rFonts w:hint="eastAsia" w:eastAsia="仿宋"/>
            </w:rPr>
            <w:t>七、一般公共预算财政拨款支出决算明细表</w:t>
          </w:r>
          <w:r>
            <w:tab/>
          </w:r>
          <w:r>
            <w:fldChar w:fldCharType="begin"/>
          </w:r>
          <w:r>
            <w:instrText xml:space="preserve"> PAGEREF _Toc113008499 \h </w:instrText>
          </w:r>
          <w:r>
            <w:fldChar w:fldCharType="separate"/>
          </w:r>
          <w:r>
            <w:t>32</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"_Toc113008500" </w:instrText>
          </w:r>
          <w:r>
            <w:fldChar w:fldCharType="separate"/>
          </w:r>
          <w:r>
            <w:rPr>
              <w:rStyle w:val="15"/>
              <w:rFonts w:hint="eastAsia" w:eastAsia="仿宋"/>
            </w:rPr>
            <w:t>八、一般公共预算财政拨款基本支出决算表</w:t>
          </w:r>
          <w:r>
            <w:tab/>
          </w:r>
          <w:r>
            <w:fldChar w:fldCharType="begin"/>
          </w:r>
          <w:r>
            <w:instrText xml:space="preserve"> PAGEREF _Toc113008500 \h </w:instrText>
          </w:r>
          <w:r>
            <w:fldChar w:fldCharType="separate"/>
          </w:r>
          <w:r>
            <w:t>32</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"_Toc113008501" </w:instrText>
          </w:r>
          <w:r>
            <w:fldChar w:fldCharType="separate"/>
          </w:r>
          <w:r>
            <w:rPr>
              <w:rStyle w:val="15"/>
              <w:rFonts w:hint="eastAsia" w:eastAsia="仿宋"/>
            </w:rPr>
            <w:t>九、一般公共预算财政拨款项目支出决算表</w:t>
          </w:r>
          <w:r>
            <w:tab/>
          </w:r>
          <w:r>
            <w:fldChar w:fldCharType="begin"/>
          </w:r>
          <w:r>
            <w:instrText xml:space="preserve"> PAGEREF _Toc113008501 \h </w:instrText>
          </w:r>
          <w:r>
            <w:fldChar w:fldCharType="separate"/>
          </w:r>
          <w:r>
            <w:t>32</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"_Toc113008502" </w:instrText>
          </w:r>
          <w:r>
            <w:fldChar w:fldCharType="separate"/>
          </w:r>
          <w:r>
            <w:rPr>
              <w:rStyle w:val="15"/>
              <w:rFonts w:hint="eastAsia" w:eastAsia="仿宋"/>
            </w:rPr>
            <w:t>十、一般公共预算财政拨款</w:t>
          </w:r>
          <w:r>
            <w:rPr>
              <w:rStyle w:val="15"/>
              <w:rFonts w:eastAsia="仿宋"/>
            </w:rPr>
            <w:t>“</w:t>
          </w:r>
          <w:r>
            <w:rPr>
              <w:rStyle w:val="15"/>
              <w:rFonts w:hint="eastAsia" w:eastAsia="仿宋"/>
            </w:rPr>
            <w:t>三公</w:t>
          </w:r>
          <w:r>
            <w:rPr>
              <w:rStyle w:val="15"/>
              <w:rFonts w:eastAsia="仿宋"/>
            </w:rPr>
            <w:t>”</w:t>
          </w:r>
          <w:r>
            <w:rPr>
              <w:rStyle w:val="15"/>
              <w:rFonts w:hint="eastAsia" w:eastAsia="仿宋"/>
            </w:rPr>
            <w:t>经费支出决算表</w:t>
          </w:r>
          <w:r>
            <w:tab/>
          </w:r>
          <w:r>
            <w:fldChar w:fldCharType="begin"/>
          </w:r>
          <w:r>
            <w:instrText xml:space="preserve"> PAGEREF _Toc113008502 \h </w:instrText>
          </w:r>
          <w:r>
            <w:fldChar w:fldCharType="separate"/>
          </w:r>
          <w:r>
            <w:t>32</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"_Toc113008503" </w:instrText>
          </w:r>
          <w:r>
            <w:fldChar w:fldCharType="separate"/>
          </w:r>
          <w:r>
            <w:rPr>
              <w:rStyle w:val="15"/>
              <w:rFonts w:hint="eastAsia" w:eastAsia="仿宋"/>
            </w:rPr>
            <w:t>十一、政府性基金预算财政拨款收入支出决算表（此表无数据）</w:t>
          </w:r>
          <w:r>
            <w:tab/>
          </w:r>
          <w:r>
            <w:fldChar w:fldCharType="begin"/>
          </w:r>
          <w:r>
            <w:instrText xml:space="preserve"> PAGEREF _Toc113008503 \h </w:instrText>
          </w:r>
          <w:r>
            <w:fldChar w:fldCharType="separate"/>
          </w:r>
          <w:r>
            <w:t>32</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"_Toc113008504" </w:instrText>
          </w:r>
          <w:r>
            <w:fldChar w:fldCharType="separate"/>
          </w:r>
          <w:r>
            <w:rPr>
              <w:rStyle w:val="15"/>
              <w:rFonts w:hint="eastAsia" w:eastAsia="仿宋"/>
            </w:rPr>
            <w:t>十二、政府性基金预算财政拨款</w:t>
          </w:r>
          <w:r>
            <w:rPr>
              <w:rStyle w:val="15"/>
              <w:rFonts w:eastAsia="仿宋"/>
            </w:rPr>
            <w:t>“</w:t>
          </w:r>
          <w:r>
            <w:rPr>
              <w:rStyle w:val="15"/>
              <w:rFonts w:hint="eastAsia" w:eastAsia="仿宋"/>
            </w:rPr>
            <w:t>三公</w:t>
          </w:r>
          <w:r>
            <w:rPr>
              <w:rStyle w:val="15"/>
              <w:rFonts w:eastAsia="仿宋"/>
            </w:rPr>
            <w:t>”</w:t>
          </w:r>
          <w:r>
            <w:rPr>
              <w:rStyle w:val="15"/>
              <w:rFonts w:hint="eastAsia" w:eastAsia="仿宋"/>
            </w:rPr>
            <w:t>经费支出决算表（此表无数据）</w:t>
          </w:r>
          <w:r>
            <w:tab/>
          </w:r>
          <w:r>
            <w:fldChar w:fldCharType="begin"/>
          </w:r>
          <w:r>
            <w:instrText xml:space="preserve"> PAGEREF _Toc113008504 \h </w:instrText>
          </w:r>
          <w:r>
            <w:fldChar w:fldCharType="separate"/>
          </w:r>
          <w:r>
            <w:t>32</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"_Toc113008505" </w:instrText>
          </w:r>
          <w:r>
            <w:fldChar w:fldCharType="separate"/>
          </w:r>
          <w:r>
            <w:rPr>
              <w:rStyle w:val="15"/>
              <w:rFonts w:hint="eastAsia" w:eastAsia="仿宋"/>
            </w:rPr>
            <w:t>十三、国有资本经营预算财政拨款收入支出决算表（此表无数据）</w:t>
          </w:r>
          <w:r>
            <w:tab/>
          </w:r>
          <w:r>
            <w:fldChar w:fldCharType="begin"/>
          </w:r>
          <w:r>
            <w:instrText xml:space="preserve"> PAGEREF _Toc113008505 \h </w:instrText>
          </w:r>
          <w:r>
            <w:fldChar w:fldCharType="separate"/>
          </w:r>
          <w:r>
            <w:t>32</w:t>
          </w:r>
          <w:r>
            <w:fldChar w:fldCharType="end"/>
          </w:r>
          <w:r>
            <w:fldChar w:fldCharType="end"/>
          </w:r>
        </w:p>
        <w:p>
          <w:pPr>
            <w:pStyle w:val="11"/>
          </w:pPr>
          <w:r>
            <w:fldChar w:fldCharType="begin"/>
          </w:r>
          <w:r>
            <w:instrText xml:space="preserve"> HYPERLINK \l "_Toc113008506" </w:instrText>
          </w:r>
          <w:r>
            <w:fldChar w:fldCharType="separate"/>
          </w:r>
          <w:r>
            <w:rPr>
              <w:rStyle w:val="15"/>
              <w:rFonts w:hint="eastAsia" w:eastAsia="仿宋"/>
            </w:rPr>
            <w:t>十四、国有资本经营预算财政拨款支出决算表（此表无数据）</w:t>
          </w:r>
          <w:r>
            <w:tab/>
          </w:r>
          <w:r>
            <w:fldChar w:fldCharType="begin"/>
          </w:r>
          <w:r>
            <w:instrText xml:space="preserve"> PAGEREF _Toc113008506 \h </w:instrText>
          </w:r>
          <w:r>
            <w:fldChar w:fldCharType="separate"/>
          </w:r>
          <w:r>
            <w:t>32</w:t>
          </w:r>
          <w:r>
            <w:fldChar w:fldCharType="end"/>
          </w:r>
          <w:r>
            <w:fldChar w:fldCharType="end"/>
          </w:r>
          <w:r>
            <w:rPr>
              <w:b/>
            </w:rPr>
            <w:fldChar w:fldCharType="end"/>
          </w:r>
        </w:p>
      </w:sdtContent>
    </w:sdt>
    <w:p>
      <w:pPr>
        <w:pStyle w:val="3"/>
        <w:jc w:val="center"/>
        <w:rPr>
          <w:rFonts w:ascii="黑体" w:hAnsi="黑体" w:eastAsia="黑体"/>
          <w:b w:val="0"/>
        </w:rPr>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bookmarkStart w:id="12" w:name="_Toc113008476"/>
    </w:p>
    <w:p>
      <w:pPr>
        <w:pStyle w:val="3"/>
        <w:jc w:val="center"/>
        <w:rPr>
          <w:rStyle w:val="24"/>
          <w:rFonts w:ascii="黑体" w:hAnsi="黑体" w:eastAsia="黑体"/>
          <w:b/>
          <w:bCs w:val="0"/>
        </w:rPr>
      </w:pPr>
      <w:r>
        <w:rPr>
          <w:rFonts w:hint="eastAsia" w:ascii="黑体" w:hAnsi="黑体" w:eastAsia="黑体"/>
          <w:b w:val="0"/>
        </w:rPr>
        <w:t>第一部分 单位</w:t>
      </w:r>
      <w:r>
        <w:rPr>
          <w:rStyle w:val="24"/>
          <w:rFonts w:hint="eastAsia" w:ascii="黑体" w:hAnsi="黑体" w:eastAsia="黑体"/>
          <w:b w:val="0"/>
          <w:bCs w:val="0"/>
        </w:rPr>
        <w:t>概况</w:t>
      </w:r>
      <w:bookmarkEnd w:id="12"/>
    </w:p>
    <w:p>
      <w:pPr>
        <w:widowControl/>
        <w:jc w:val="left"/>
        <w:rPr>
          <w:rFonts w:ascii="黑体" w:eastAsia="黑体"/>
          <w:sz w:val="32"/>
          <w:szCs w:val="32"/>
        </w:rPr>
      </w:pPr>
    </w:p>
    <w:p>
      <w:pPr>
        <w:pStyle w:val="4"/>
        <w:rPr>
          <w:rStyle w:val="25"/>
          <w:rFonts w:ascii="黑体" w:hAnsi="黑体" w:eastAsia="黑体"/>
          <w:b w:val="0"/>
          <w:bCs w:val="0"/>
        </w:rPr>
      </w:pPr>
      <w:bookmarkStart w:id="13" w:name="_Toc113008477"/>
      <w:bookmarkStart w:id="14" w:name="_Toc15377197"/>
      <w:bookmarkStart w:id="15" w:name="_Toc15396600"/>
      <w:r>
        <w:rPr>
          <w:rStyle w:val="25"/>
          <w:rFonts w:hint="eastAsia" w:ascii="黑体" w:hAnsi="黑体" w:eastAsia="黑体"/>
          <w:b w:val="0"/>
          <w:bCs w:val="0"/>
        </w:rPr>
        <w:t>一、职能简介</w:t>
      </w:r>
      <w:bookmarkEnd w:id="13"/>
    </w:p>
    <w:p>
      <w:pPr>
        <w:snapToGrid w:val="0"/>
        <w:spacing w:line="580" w:lineRule="exact"/>
        <w:ind w:firstLine="640" w:firstLineChars="200"/>
        <w:rPr>
          <w:rFonts w:ascii="仿宋" w:hAnsi="仿宋" w:eastAsia="仿宋"/>
        </w:rPr>
      </w:pPr>
      <w:r>
        <w:rPr>
          <w:rFonts w:hint="eastAsia" w:ascii="仿宋" w:hAnsi="仿宋" w:eastAsia="仿宋"/>
          <w:kern w:val="0"/>
          <w:sz w:val="32"/>
          <w:szCs w:val="32"/>
        </w:rPr>
        <w:t>攀枝花中国三线建设博物馆</w:t>
      </w:r>
      <w:r>
        <w:rPr>
          <w:rFonts w:ascii="仿宋" w:hAnsi="仿宋" w:eastAsia="仿宋"/>
          <w:kern w:val="0"/>
          <w:sz w:val="32"/>
          <w:szCs w:val="32"/>
        </w:rPr>
        <w:t>承担历史文物和三线建设实物标本的收集、采集、整理、保管、典藏和展示陈列，及其鉴定、研究与开发利用工作，以及承担文物发掘、保护职能。</w:t>
      </w:r>
    </w:p>
    <w:p>
      <w:pPr>
        <w:pStyle w:val="4"/>
        <w:rPr>
          <w:rFonts w:ascii="黑体" w:hAnsi="黑体" w:eastAsia="黑体"/>
          <w:b w:val="0"/>
        </w:rPr>
      </w:pPr>
      <w:bookmarkStart w:id="16" w:name="_Toc113008478"/>
      <w:r>
        <w:rPr>
          <w:rFonts w:hint="eastAsia" w:ascii="黑体" w:hAnsi="黑体" w:eastAsia="黑体"/>
          <w:b w:val="0"/>
        </w:rPr>
        <w:t>二、2021年重点工作</w:t>
      </w:r>
      <w:bookmarkEnd w:id="14"/>
      <w:bookmarkEnd w:id="15"/>
      <w:r>
        <w:rPr>
          <w:rFonts w:hint="eastAsia" w:ascii="黑体" w:hAnsi="黑体" w:eastAsia="黑体"/>
          <w:b w:val="0"/>
        </w:rPr>
        <w:t>完成情况</w:t>
      </w:r>
      <w:bookmarkEnd w:id="16"/>
    </w:p>
    <w:p>
      <w:pPr>
        <w:ind w:firstLine="640" w:firstLineChars="200"/>
        <w:rPr>
          <w:rFonts w:ascii="仿宋" w:hAnsi="仿宋" w:eastAsia="仿宋"/>
        </w:rPr>
      </w:pPr>
      <w:r>
        <w:rPr>
          <w:rFonts w:hint="eastAsia" w:ascii="仿宋" w:hAnsi="仿宋" w:eastAsia="仿宋" w:cs="Arial"/>
          <w:sz w:val="32"/>
          <w:szCs w:val="32"/>
          <w:shd w:val="clear" w:color="auto" w:fill="FFFFFF"/>
        </w:rPr>
        <w:t>2021年是中国共产党成立100周年，</w:t>
      </w:r>
      <w:r>
        <w:rPr>
          <w:rFonts w:hint="eastAsia" w:ascii="仿宋" w:hAnsi="仿宋" w:eastAsia="仿宋"/>
          <w:sz w:val="32"/>
          <w:szCs w:val="32"/>
        </w:rPr>
        <w:t>攀枝花中国三线建设博物馆围绕市委、市政府中心工作，以党建为引领，大力开展党史学习教育，全力以赴做好新冠疫情防控，持续打造公共文化服务主阵地，持续提高服务质量，传承红色基因，弘扬“三线精神”得到进一步彰显，出色完成了上级交办的各项任务，现将2021年重点工作完成情况汇报如下：</w:t>
      </w:r>
    </w:p>
    <w:p>
      <w:pPr>
        <w:spacing w:line="560" w:lineRule="exact"/>
        <w:ind w:firstLine="643" w:firstLineChars="200"/>
        <w:rPr>
          <w:rFonts w:ascii="仿宋_GB2312" w:hAnsi="仿宋_GB2312" w:eastAsia="仿宋_GB2312" w:cs="仿宋_GB2312"/>
          <w:sz w:val="32"/>
          <w:szCs w:val="32"/>
        </w:rPr>
      </w:pPr>
      <w:r>
        <w:rPr>
          <w:rFonts w:hint="eastAsia" w:ascii="仿宋" w:hAnsi="仿宋" w:eastAsia="仿宋"/>
          <w:b/>
          <w:bCs/>
          <w:sz w:val="32"/>
          <w:szCs w:val="32"/>
        </w:rPr>
        <w:t>一是</w:t>
      </w:r>
      <w:r>
        <w:rPr>
          <w:rFonts w:hint="eastAsia" w:ascii="仿宋" w:hAnsi="仿宋" w:eastAsia="仿宋"/>
          <w:sz w:val="32"/>
          <w:szCs w:val="32"/>
        </w:rPr>
        <w:t>全国爱国主义教育示范基地申报成功。今年3月，攀枝花中国三线建设博物馆启动了“全国爱国主义教育示范基地”申报工作。根据《全国爱国主义教育示范基地测评体系（试行）》要求，全馆上下同心协力，选派优秀年轻干部上挂，加强与上级部门对申报工作沟通协调，围绕设施建设、文物保护、基本陈列、主题教育、管理机制等方面开展了自查，完成了展陈大纲文本、图册、讲解词的校对以及资料的收集、编写、报送。今年6月，攀枝花中国三线建设博物馆正式被中宣部命名为“全国爱国主义教育示范基地”，今年10月，举行了全国爱国主义教育示范基地授牌仪式。攀枝花中国三线建设博物馆现已成为我市首家“国字号”爱国主义教育示范基地，在实现全馆服务质量提升和对外宣传上取得又一项突破。</w:t>
      </w:r>
      <w:r>
        <w:rPr>
          <w:rFonts w:hint="eastAsia" w:ascii="仿宋" w:hAnsi="仿宋" w:eastAsia="仿宋"/>
          <w:b/>
          <w:bCs/>
          <w:sz w:val="32"/>
          <w:szCs w:val="32"/>
        </w:rPr>
        <w:t>二是</w:t>
      </w:r>
      <w:r>
        <w:rPr>
          <w:rFonts w:hint="eastAsia" w:ascii="仿宋" w:hAnsi="仿宋" w:eastAsia="仿宋"/>
          <w:sz w:val="32"/>
          <w:szCs w:val="32"/>
        </w:rPr>
        <w:t>充分协调、积极争取，攀枝花中国三线建设博物馆将从2022年度起纳入中央免开资金补助范围，减轻了市本级财政负担。</w:t>
      </w:r>
      <w:r>
        <w:rPr>
          <w:rFonts w:hint="eastAsia" w:ascii="仿宋" w:hAnsi="仿宋" w:eastAsia="仿宋"/>
          <w:b/>
          <w:sz w:val="32"/>
          <w:szCs w:val="32"/>
        </w:rPr>
        <w:t>三是</w:t>
      </w:r>
      <w:r>
        <w:rPr>
          <w:rFonts w:hint="eastAsia" w:ascii="仿宋" w:hAnsi="仿宋" w:eastAsia="仿宋"/>
          <w:sz w:val="32"/>
          <w:szCs w:val="32"/>
        </w:rPr>
        <w:t>总分馆体系建设初见成效。为推进分馆数字化建设，丰富三线建设干部学院教育培训资源，攀枝花中国三线建设博物馆协助市文广旅局完成了第二批分馆调研、确认及授牌，更新制作了总分馆分布图与图册；同时，总分馆数字化建设取得重要成果，为10家分馆分别配备文博一体机，完成了分馆VR全景导览拍摄任务，促进了分馆数字化建设，总分馆之间实现资源共通互享，公共文化辐射范围更广、影响更深。</w:t>
      </w:r>
      <w:r>
        <w:rPr>
          <w:rFonts w:hint="eastAsia" w:ascii="仿宋" w:hAnsi="仿宋" w:eastAsia="仿宋"/>
          <w:b/>
          <w:bCs/>
          <w:sz w:val="32"/>
          <w:szCs w:val="32"/>
        </w:rPr>
        <w:t>四是</w:t>
      </w:r>
      <w:r>
        <w:rPr>
          <w:rFonts w:hint="eastAsia" w:ascii="仿宋" w:hAnsi="仿宋" w:eastAsia="仿宋"/>
          <w:sz w:val="32"/>
          <w:szCs w:val="32"/>
        </w:rPr>
        <w:t>省级文旅融合示范项目全面完成。攀枝花中国三线建设博物馆于</w:t>
      </w:r>
      <w:r>
        <w:rPr>
          <w:rFonts w:ascii="仿宋" w:hAnsi="仿宋" w:eastAsia="仿宋"/>
          <w:sz w:val="32"/>
          <w:szCs w:val="32"/>
        </w:rPr>
        <w:t>2019</w:t>
      </w:r>
      <w:r>
        <w:rPr>
          <w:rFonts w:hint="eastAsia" w:ascii="仿宋" w:hAnsi="仿宋" w:eastAsia="仿宋"/>
          <w:sz w:val="32"/>
          <w:szCs w:val="32"/>
        </w:rPr>
        <w:t>年</w:t>
      </w:r>
      <w:r>
        <w:rPr>
          <w:rFonts w:ascii="仿宋" w:hAnsi="仿宋" w:eastAsia="仿宋"/>
          <w:sz w:val="32"/>
          <w:szCs w:val="32"/>
        </w:rPr>
        <w:t>12</w:t>
      </w:r>
      <w:r>
        <w:rPr>
          <w:rFonts w:hint="eastAsia" w:ascii="仿宋" w:hAnsi="仿宋" w:eastAsia="仿宋"/>
          <w:sz w:val="32"/>
          <w:szCs w:val="32"/>
        </w:rPr>
        <w:t>月正式启动省级文旅融合示范项目建设，经公开招投标、方案报审、方案升华、现场实施等环节，目前，该项目的三线文创研发与制作、智能化智慧化改造提升、室外军工文物展示区打造以及室内展陈提升和临展厅打造（玻璃廊桥区域可利用空间）四个子项目已全面完工。今年10月，攀枝花中国三线建设博物馆接受了省级文旅融合示范项目前期绩效评价工作，整个项目的实施获得认可，有望通过省级项目验收。</w:t>
      </w:r>
      <w:r>
        <w:rPr>
          <w:rFonts w:hint="eastAsia" w:ascii="仿宋" w:hAnsi="仿宋" w:eastAsia="仿宋"/>
          <w:b/>
          <w:bCs/>
          <w:sz w:val="32"/>
          <w:szCs w:val="32"/>
        </w:rPr>
        <w:t>五是</w:t>
      </w:r>
      <w:r>
        <w:rPr>
          <w:rFonts w:hint="eastAsia" w:ascii="仿宋" w:hAnsi="仿宋" w:eastAsia="仿宋"/>
          <w:sz w:val="32"/>
          <w:szCs w:val="32"/>
        </w:rPr>
        <w:t>文物保护成绩突出。</w:t>
      </w:r>
      <w:r>
        <w:rPr>
          <w:rFonts w:hint="eastAsia" w:ascii="仿宋" w:hAnsi="仿宋" w:eastAsia="仿宋"/>
          <w:sz w:val="32"/>
          <w:szCs w:val="32"/>
          <w:shd w:val="clear" w:color="auto" w:fill="FFFFFF"/>
        </w:rPr>
        <w:t>通过</w:t>
      </w:r>
      <w:r>
        <w:rPr>
          <w:rFonts w:hint="eastAsia" w:ascii="仿宋" w:hAnsi="仿宋" w:eastAsia="仿宋" w:cs="仿宋_GB2312"/>
          <w:sz w:val="32"/>
          <w:szCs w:val="32"/>
        </w:rPr>
        <w:t>“自查+核查”的方式</w:t>
      </w:r>
      <w:r>
        <w:rPr>
          <w:rFonts w:hint="eastAsia" w:ascii="仿宋" w:hAnsi="仿宋" w:eastAsia="仿宋"/>
          <w:sz w:val="32"/>
          <w:szCs w:val="32"/>
          <w:shd w:val="clear" w:color="auto" w:fill="FFFFFF"/>
        </w:rPr>
        <w:t>定</w:t>
      </w:r>
      <w:r>
        <w:rPr>
          <w:rFonts w:hint="eastAsia" w:ascii="仿宋" w:hAnsi="仿宋" w:eastAsia="仿宋" w:cs="仿宋"/>
          <w:sz w:val="32"/>
          <w:szCs w:val="32"/>
        </w:rPr>
        <w:t>期</w:t>
      </w:r>
      <w:r>
        <w:rPr>
          <w:rFonts w:hint="eastAsia" w:ascii="仿宋" w:hAnsi="仿宋" w:eastAsia="仿宋"/>
          <w:sz w:val="32"/>
          <w:szCs w:val="32"/>
          <w:shd w:val="clear" w:color="auto" w:fill="FFFFFF"/>
        </w:rPr>
        <w:t>对全市重点文保单位及各县（区）的文物保护修缮工程现场进行安全检查25次，</w:t>
      </w:r>
      <w:r>
        <w:rPr>
          <w:rFonts w:hint="eastAsia" w:ascii="仿宋" w:hAnsi="仿宋" w:eastAsia="仿宋"/>
          <w:sz w:val="32"/>
          <w:szCs w:val="32"/>
        </w:rPr>
        <w:t>发现问题3个，整改3个；</w:t>
      </w:r>
      <w:r>
        <w:rPr>
          <w:rFonts w:ascii="仿宋" w:hAnsi="仿宋" w:eastAsia="仿宋"/>
          <w:sz w:val="32"/>
          <w:szCs w:val="32"/>
          <w:shd w:val="clear" w:color="auto" w:fill="FFFFFF"/>
        </w:rPr>
        <w:t>协助省考古院</w:t>
      </w:r>
      <w:r>
        <w:rPr>
          <w:rFonts w:hint="eastAsia" w:ascii="仿宋" w:hAnsi="仿宋" w:eastAsia="仿宋"/>
          <w:sz w:val="32"/>
          <w:szCs w:val="32"/>
          <w:shd w:val="clear" w:color="auto" w:fill="FFFFFF"/>
        </w:rPr>
        <w:t>对我市三区两县古代石刻文字调查与整理及拓片工作，共拓印1564份，442余平方米；完成攀枝花市申报省级历史文化名城基础资料收集整理报送工作；指导并整理完成报送第九批省级文物保护单位（增补）成昆铁路仁和段保护区划定范围相关工作。</w:t>
      </w:r>
      <w:r>
        <w:rPr>
          <w:rFonts w:hint="eastAsia" w:ascii="仿宋" w:hAnsi="仿宋" w:eastAsia="仿宋"/>
          <w:b/>
          <w:bCs/>
          <w:sz w:val="32"/>
          <w:szCs w:val="32"/>
        </w:rPr>
        <w:t>六是</w:t>
      </w:r>
      <w:r>
        <w:rPr>
          <w:rFonts w:hint="eastAsia" w:ascii="仿宋" w:hAnsi="仿宋" w:eastAsia="仿宋" w:cs="仿宋"/>
          <w:sz w:val="32"/>
          <w:szCs w:val="32"/>
        </w:rPr>
        <w:t>文物征集成果丰硕。</w:t>
      </w:r>
      <w:r>
        <w:rPr>
          <w:rFonts w:hint="eastAsia" w:ascii="仿宋" w:hAnsi="仿宋" w:eastAsia="仿宋" w:cs="仿宋_GB2312"/>
          <w:kern w:val="0"/>
          <w:sz w:val="32"/>
          <w:szCs w:val="32"/>
        </w:rPr>
        <w:t>2021年，</w:t>
      </w:r>
      <w:r>
        <w:rPr>
          <w:rFonts w:hint="eastAsia" w:ascii="仿宋" w:hAnsi="仿宋" w:eastAsia="仿宋"/>
          <w:sz w:val="32"/>
          <w:szCs w:val="32"/>
        </w:rPr>
        <w:t>攀枝花中国三线建设博物馆</w:t>
      </w:r>
      <w:r>
        <w:rPr>
          <w:rFonts w:hint="eastAsia" w:ascii="仿宋" w:hAnsi="仿宋" w:eastAsia="仿宋" w:cs="仿宋_GB2312"/>
          <w:kern w:val="0"/>
          <w:sz w:val="32"/>
          <w:szCs w:val="32"/>
        </w:rPr>
        <w:t>共征集到</w:t>
      </w:r>
      <w:r>
        <w:rPr>
          <w:rFonts w:hint="eastAsia" w:ascii="仿宋" w:hAnsi="仿宋" w:eastAsia="仿宋" w:cs="仿宋"/>
          <w:sz w:val="32"/>
          <w:szCs w:val="32"/>
        </w:rPr>
        <w:t>单位和个人三线藏品1223件套，疫情防控见证物5件套。其中，市委原副书记张伯希捐赠的藏品资料近1000件，成功征集到重庆三线军工藏品9件套、</w:t>
      </w:r>
      <w:r>
        <w:rPr>
          <w:rFonts w:hint="eastAsia" w:ascii="仿宋" w:hAnsi="仿宋" w:eastAsia="仿宋"/>
          <w:sz w:val="32"/>
          <w:szCs w:val="32"/>
        </w:rPr>
        <w:t>庆祝建党100周年大会现场旗杆（含基座）1件套以及</w:t>
      </w:r>
      <w:r>
        <w:rPr>
          <w:rFonts w:hint="eastAsia" w:ascii="仿宋" w:hAnsi="仿宋" w:eastAsia="仿宋" w:cs="仿宋"/>
          <w:sz w:val="32"/>
          <w:szCs w:val="32"/>
        </w:rPr>
        <w:t>中央军委装备发展部调拨的陆军退役装备6件、退役飞机3架。目前，各退役装备已陆续到馆。此外，2021年，</w:t>
      </w:r>
      <w:r>
        <w:rPr>
          <w:rFonts w:hint="eastAsia" w:ascii="仿宋" w:hAnsi="仿宋" w:eastAsia="仿宋"/>
          <w:sz w:val="32"/>
          <w:szCs w:val="32"/>
        </w:rPr>
        <w:t>攀枝花中国三线建设博物馆</w:t>
      </w:r>
      <w:r>
        <w:rPr>
          <w:rFonts w:hint="eastAsia" w:ascii="仿宋" w:hAnsi="仿宋" w:eastAsia="仿宋" w:cs="仿宋"/>
          <w:sz w:val="32"/>
          <w:szCs w:val="32"/>
        </w:rPr>
        <w:t>共</w:t>
      </w:r>
      <w:r>
        <w:rPr>
          <w:rFonts w:hint="eastAsia" w:ascii="仿宋" w:hAnsi="仿宋" w:eastAsia="仿宋" w:cs="仿宋_GB2312"/>
          <w:sz w:val="32"/>
          <w:szCs w:val="32"/>
        </w:rPr>
        <w:t>完成疫情防控实物156件档案录入；完成三线藏品76件入库登记和档案录入；已对624</w:t>
      </w:r>
      <w:r>
        <w:rPr>
          <w:rFonts w:hint="eastAsia" w:ascii="仿宋" w:hAnsi="仿宋" w:eastAsia="仿宋" w:cs="仿宋"/>
          <w:sz w:val="32"/>
          <w:szCs w:val="32"/>
        </w:rPr>
        <w:t>件/套</w:t>
      </w:r>
      <w:r>
        <w:rPr>
          <w:rFonts w:hint="eastAsia" w:ascii="仿宋" w:hAnsi="仿宋" w:eastAsia="仿宋" w:cs="仿宋_GB2312"/>
          <w:sz w:val="32"/>
          <w:szCs w:val="32"/>
        </w:rPr>
        <w:t>藏品重新对照一普数据进行编号，并完善其库位等信息。</w:t>
      </w:r>
      <w:r>
        <w:rPr>
          <w:rFonts w:hint="eastAsia" w:ascii="仿宋" w:hAnsi="仿宋" w:eastAsia="仿宋"/>
          <w:b/>
          <w:bCs/>
          <w:sz w:val="32"/>
          <w:szCs w:val="32"/>
        </w:rPr>
        <w:t>七是</w:t>
      </w:r>
      <w:r>
        <w:rPr>
          <w:rFonts w:hint="eastAsia" w:ascii="仿宋" w:hAnsi="仿宋" w:eastAsia="仿宋"/>
          <w:sz w:val="32"/>
          <w:szCs w:val="32"/>
        </w:rPr>
        <w:t>文创研发不断突破。完成三线文创IP形象注册工作；</w:t>
      </w:r>
      <w:r>
        <w:rPr>
          <w:rFonts w:ascii="仿宋" w:hAnsi="仿宋" w:eastAsia="仿宋"/>
          <w:sz w:val="32"/>
          <w:szCs w:val="32"/>
        </w:rPr>
        <w:t>利用钒钛资源，设计开发</w:t>
      </w:r>
      <w:r>
        <w:rPr>
          <w:rFonts w:hint="eastAsia" w:ascii="仿宋" w:hAnsi="仿宋" w:eastAsia="仿宋"/>
          <w:sz w:val="32"/>
          <w:szCs w:val="32"/>
        </w:rPr>
        <w:t>“</w:t>
      </w:r>
      <w:r>
        <w:rPr>
          <w:rFonts w:ascii="仿宋" w:hAnsi="仿宋" w:eastAsia="仿宋"/>
          <w:sz w:val="32"/>
          <w:szCs w:val="32"/>
        </w:rPr>
        <w:t>钒钛精灵</w:t>
      </w:r>
      <w:r>
        <w:rPr>
          <w:rFonts w:hint="eastAsia" w:ascii="仿宋" w:hAnsi="仿宋" w:eastAsia="仿宋"/>
          <w:sz w:val="32"/>
          <w:szCs w:val="32"/>
        </w:rPr>
        <w:t>”</w:t>
      </w:r>
      <w:r>
        <w:rPr>
          <w:rFonts w:ascii="仿宋" w:hAnsi="仿宋" w:eastAsia="仿宋"/>
          <w:sz w:val="32"/>
          <w:szCs w:val="32"/>
        </w:rPr>
        <w:t>系列旅游伴手礼，进一步增进城市文化软实力</w:t>
      </w:r>
      <w:r>
        <w:rPr>
          <w:rFonts w:hint="eastAsia" w:ascii="仿宋" w:hAnsi="仿宋" w:eastAsia="仿宋"/>
          <w:sz w:val="32"/>
          <w:szCs w:val="32"/>
        </w:rPr>
        <w:t>；代表全市参加四川省旅游景区发展大会文创产品展示展览活动，并取得良好反响；完成以三线建设题材为原创的纸雕艺术馆建设，引进一家文创企业开展“老三线”文创产品研发和市场拓展。</w:t>
      </w:r>
      <w:r>
        <w:rPr>
          <w:rFonts w:hint="eastAsia" w:ascii="仿宋" w:hAnsi="仿宋" w:eastAsia="仿宋"/>
          <w:b/>
          <w:sz w:val="32"/>
          <w:szCs w:val="32"/>
        </w:rPr>
        <w:t>八是</w:t>
      </w:r>
      <w:r>
        <w:rPr>
          <w:rFonts w:hint="eastAsia" w:ascii="仿宋" w:hAnsi="仿宋" w:eastAsia="仿宋"/>
          <w:sz w:val="32"/>
          <w:szCs w:val="32"/>
        </w:rPr>
        <w:t>安全管理常抓不懈。作为市级重点安全管理单位，攀枝花中国三线建设博物馆将安全工作作为履职首要任务抓实抓牢，围绕全年森林防灭火、防汛等开展专项整治行动，组织干部职工150人次围绕重点环节开展安全和消防应急演练2次，检验处置能效，确保全年安全有序。</w:t>
      </w:r>
      <w:r>
        <w:rPr>
          <w:rFonts w:hint="eastAsia" w:ascii="仿宋" w:hAnsi="仿宋" w:eastAsia="仿宋"/>
          <w:b/>
          <w:sz w:val="32"/>
          <w:szCs w:val="32"/>
        </w:rPr>
        <w:t>九是</w:t>
      </w:r>
      <w:r>
        <w:rPr>
          <w:rFonts w:hint="eastAsia" w:ascii="仿宋" w:hAnsi="仿宋" w:eastAsia="仿宋"/>
          <w:sz w:val="32"/>
          <w:szCs w:val="32"/>
        </w:rPr>
        <w:t>党史学习教育成效显著。率先打造全市党史学习教育示范基地。分别针对党员干部、专题培训和主体班次、青少年学生、党员群众，优化推出4条党史学习教育线路，增强场馆内外党性元素，营造良好学习氛围，更好激发观众凝聚前进和奋斗的力量，充分发挥了三线建设博物馆党史学习教育精准化、示范性，并获得省委第六巡回指导组的高度肯定；认真做好党史学习教育团队参观接待。截至目前，攀枝花中国三线建设博物馆共接待党史教育活动团队355批（其中学生111批），受教育人数约24.3万余人次（学生4858人次）；用心做好党史系列社教活动。先后携手国网攀枝花供电公司、攀枝花学院、中国移动攀枝花分公司举办了学党史系列宣讲会，</w:t>
      </w:r>
      <w:r>
        <w:rPr>
          <w:rStyle w:val="14"/>
          <w:rFonts w:hint="eastAsia" w:ascii="仿宋" w:hAnsi="仿宋" w:eastAsia="仿宋"/>
          <w:spacing w:val="18"/>
          <w:sz w:val="32"/>
          <w:szCs w:val="32"/>
          <w:shd w:val="clear" w:color="auto" w:fill="FFFFFF"/>
        </w:rPr>
        <w:t>以“5.18国际博物馆日”为契机，</w:t>
      </w:r>
      <w:r>
        <w:rPr>
          <w:rFonts w:hint="eastAsia" w:ascii="仿宋" w:hAnsi="仿宋" w:eastAsia="仿宋" w:cs="仿宋_GB2312"/>
          <w:sz w:val="32"/>
          <w:szCs w:val="32"/>
        </w:rPr>
        <w:t>围绕</w:t>
      </w:r>
      <w:r>
        <w:rPr>
          <w:rStyle w:val="14"/>
          <w:rFonts w:hint="eastAsia" w:ascii="仿宋" w:hAnsi="仿宋" w:eastAsia="仿宋"/>
          <w:spacing w:val="18"/>
          <w:sz w:val="32"/>
          <w:szCs w:val="32"/>
          <w:shd w:val="clear" w:color="auto" w:fill="FFFFFF"/>
        </w:rPr>
        <w:t>“学党史、悟思想</w:t>
      </w:r>
      <w:r>
        <w:rPr>
          <w:rFonts w:hint="eastAsia" w:ascii="仿宋" w:hAnsi="仿宋" w:eastAsia="仿宋" w:cs="仿宋_GB2312"/>
          <w:sz w:val="32"/>
          <w:szCs w:val="32"/>
        </w:rPr>
        <w:t>、办实事、开新局”，开展了“进部队</w:t>
      </w:r>
      <w:r>
        <w:rPr>
          <w:rFonts w:hint="eastAsia" w:ascii="仿宋" w:hAnsi="仿宋" w:eastAsia="仿宋" w:cs="仿宋_GB2312"/>
          <w:sz w:val="32"/>
          <w:szCs w:val="32"/>
          <w:lang w:eastAsia="zh-CN"/>
        </w:rPr>
        <w:t>”“</w:t>
      </w:r>
      <w:r>
        <w:rPr>
          <w:rFonts w:hint="eastAsia" w:ascii="仿宋" w:hAnsi="仿宋" w:eastAsia="仿宋" w:cs="仿宋_GB2312"/>
          <w:sz w:val="32"/>
          <w:szCs w:val="32"/>
        </w:rPr>
        <w:t>进校园</w:t>
      </w:r>
      <w:r>
        <w:rPr>
          <w:rFonts w:hint="eastAsia" w:ascii="仿宋" w:hAnsi="仿宋" w:eastAsia="仿宋" w:cs="仿宋_GB2312"/>
          <w:sz w:val="32"/>
          <w:szCs w:val="32"/>
          <w:lang w:eastAsia="zh-CN"/>
        </w:rPr>
        <w:t>”“</w:t>
      </w:r>
      <w:r>
        <w:rPr>
          <w:rFonts w:hint="eastAsia" w:ascii="仿宋" w:hAnsi="仿宋" w:eastAsia="仿宋" w:cs="仿宋_GB2312"/>
          <w:sz w:val="32"/>
          <w:szCs w:val="32"/>
        </w:rPr>
        <w:t>进医院”等一系列内容丰富、形式多样的社教活动，献礼建党100周年；</w:t>
      </w:r>
      <w:r>
        <w:rPr>
          <w:rFonts w:hint="eastAsia" w:ascii="仿宋" w:hAnsi="仿宋" w:eastAsia="仿宋"/>
          <w:sz w:val="32"/>
          <w:szCs w:val="32"/>
        </w:rPr>
        <w:t>积极开展线上党史系列教育。</w:t>
      </w:r>
      <w:r>
        <w:rPr>
          <w:rFonts w:ascii="仿宋" w:hAnsi="仿宋" w:eastAsia="仿宋"/>
          <w:sz w:val="32"/>
          <w:szCs w:val="32"/>
        </w:rPr>
        <w:t>利用</w:t>
      </w:r>
      <w:r>
        <w:rPr>
          <w:rFonts w:hint="eastAsia" w:ascii="仿宋" w:hAnsi="仿宋" w:eastAsia="仿宋"/>
          <w:sz w:val="32"/>
          <w:szCs w:val="32"/>
        </w:rPr>
        <w:t>微信、抖音、攀枝花手机台APP、FM910攀枝花汽车电台微信公</w:t>
      </w:r>
      <w:r>
        <w:rPr>
          <w:rFonts w:hint="eastAsia" w:ascii="仿宋" w:hAnsi="仿宋" w:eastAsia="仿宋" w:cs="仿宋_GB2312"/>
          <w:sz w:val="32"/>
          <w:szCs w:val="32"/>
        </w:rPr>
        <w:t>众号</w:t>
      </w:r>
      <w:r>
        <w:rPr>
          <w:rFonts w:hint="eastAsia" w:ascii="仿宋" w:hAnsi="仿宋" w:eastAsia="仿宋"/>
          <w:snapToGrid w:val="0"/>
          <w:kern w:val="0"/>
          <w:sz w:val="32"/>
          <w:szCs w:val="32"/>
        </w:rPr>
        <w:t>等新媒体，进行了十余场党史学习教育专场直播，</w:t>
      </w:r>
      <w:r>
        <w:rPr>
          <w:rFonts w:hint="eastAsia" w:ascii="仿宋" w:hAnsi="仿宋" w:eastAsia="仿宋" w:cs="仿宋_GB2312"/>
          <w:sz w:val="32"/>
          <w:szCs w:val="32"/>
        </w:rPr>
        <w:t>在线观看及参与人数最多一场达16.1万人次；</w:t>
      </w:r>
      <w:r>
        <w:rPr>
          <w:rFonts w:hint="eastAsia" w:ascii="仿宋" w:hAnsi="仿宋" w:eastAsia="仿宋"/>
          <w:sz w:val="32"/>
          <w:szCs w:val="32"/>
        </w:rPr>
        <w:t>合作办展献礼建党百年。在“七一”建党节来临之际，攀枝花中国三线建设博物馆与市级相关单位共同主办了“</w:t>
      </w:r>
      <w:r>
        <w:rPr>
          <w:rFonts w:hint="eastAsia" w:ascii="仿宋" w:hAnsi="仿宋" w:eastAsia="仿宋" w:cs="仿宋_GB2312"/>
          <w:sz w:val="32"/>
          <w:szCs w:val="32"/>
        </w:rPr>
        <w:t>庆祝中国共产党成立100周年攀枝花美术作品展”，50余幅美术作品展现了攀枝花三线建设壮举和历史文化风情。</w:t>
      </w:r>
      <w:r>
        <w:rPr>
          <w:rFonts w:hint="eastAsia" w:ascii="仿宋" w:hAnsi="仿宋" w:eastAsia="仿宋" w:cs="仿宋_GB2312"/>
          <w:b/>
          <w:sz w:val="32"/>
          <w:szCs w:val="32"/>
        </w:rPr>
        <w:t>六是</w:t>
      </w:r>
      <w:r>
        <w:rPr>
          <w:rFonts w:hint="eastAsia" w:ascii="仿宋" w:hAnsi="仿宋" w:eastAsia="仿宋"/>
          <w:sz w:val="32"/>
          <w:szCs w:val="32"/>
        </w:rPr>
        <w:t>积极配合中央、省、市党史学习教育主题展。攀枝花中国三线建设博物馆先后借出馆藏文</w:t>
      </w:r>
      <w:r>
        <w:rPr>
          <w:rFonts w:hint="eastAsia" w:ascii="仿宋" w:hAnsi="仿宋" w:eastAsia="仿宋" w:cs="仿宋_GB2312"/>
          <w:kern w:val="0"/>
          <w:sz w:val="32"/>
          <w:szCs w:val="32"/>
        </w:rPr>
        <w:t>物192件（套），参加国家、省级、市级重大展览展出。其中，</w:t>
      </w:r>
      <w:r>
        <w:rPr>
          <w:rFonts w:hint="eastAsia" w:ascii="仿宋" w:hAnsi="仿宋" w:eastAsia="仿宋" w:cs="仿宋_GB2312"/>
          <w:sz w:val="32"/>
          <w:szCs w:val="32"/>
        </w:rPr>
        <w:t>16件（套）攀枝花三线建设文物亮相首都北京“中国共产党历史展览馆”，让国内外观众更加直观地了解三线建设的辉煌历史，对宣传攀枝花中国三线建设博物馆、讲好攀枝花故事发挥了积极作用。</w:t>
      </w:r>
      <w:r>
        <w:rPr>
          <w:rFonts w:hint="eastAsia" w:ascii="仿宋" w:hAnsi="仿宋" w:eastAsia="仿宋"/>
          <w:b/>
          <w:sz w:val="32"/>
          <w:szCs w:val="32"/>
        </w:rPr>
        <w:t>十是</w:t>
      </w:r>
      <w:r>
        <w:rPr>
          <w:rFonts w:hint="eastAsia" w:ascii="仿宋" w:hAnsi="仿宋" w:eastAsia="仿宋"/>
          <w:sz w:val="32"/>
          <w:szCs w:val="32"/>
        </w:rPr>
        <w:t>免费开放成效显著。认真做好参观接待。2021年，攀枝花中国三线建设博物馆共接待各类观众1600余批次，26.2万余人次，其中攀枝花开发建设纪念馆</w:t>
      </w:r>
      <w:r>
        <w:rPr>
          <w:rFonts w:hint="eastAsia" w:ascii="仿宋" w:hAnsi="仿宋" w:eastAsia="仿宋" w:cs="宋体"/>
          <w:sz w:val="32"/>
          <w:szCs w:val="32"/>
        </w:rPr>
        <w:t>共接待参观人数13406人次，大田会议纪念馆</w:t>
      </w:r>
      <w:r>
        <w:rPr>
          <w:rFonts w:hint="eastAsia" w:ascii="仿宋" w:hAnsi="仿宋" w:eastAsia="仿宋"/>
          <w:sz w:val="32"/>
          <w:szCs w:val="32"/>
        </w:rPr>
        <w:t>共接待游客9203人次，同比有大幅增加；攀枝花中国三线建设博物馆接待省部级以上领导19批，市级领导56批，廉洁文化展厅参观56批，受益人数约1680余人次；</w:t>
      </w:r>
      <w:r>
        <w:rPr>
          <w:rFonts w:hint="eastAsia" w:ascii="仿宋" w:hAnsi="仿宋" w:eastAsia="仿宋" w:cs="仿宋_GB2312"/>
          <w:sz w:val="32"/>
          <w:szCs w:val="32"/>
        </w:rPr>
        <w:t>学雷锋志愿服务活动累计</w:t>
      </w:r>
      <w:r>
        <w:rPr>
          <w:rFonts w:ascii="仿宋" w:hAnsi="仿宋" w:eastAsia="仿宋" w:cs="仿宋_GB2312"/>
          <w:sz w:val="32"/>
          <w:szCs w:val="32"/>
        </w:rPr>
        <w:t>为观众提供服务</w:t>
      </w:r>
      <w:r>
        <w:rPr>
          <w:rFonts w:hint="eastAsia" w:ascii="仿宋" w:hAnsi="仿宋" w:eastAsia="仿宋" w:cs="仿宋_GB2312"/>
          <w:sz w:val="32"/>
          <w:szCs w:val="32"/>
        </w:rPr>
        <w:t>近1500余次</w:t>
      </w:r>
      <w:r>
        <w:rPr>
          <w:rFonts w:ascii="仿宋" w:hAnsi="仿宋" w:eastAsia="仿宋" w:cs="仿宋_GB2312"/>
          <w:sz w:val="32"/>
          <w:szCs w:val="32"/>
        </w:rPr>
        <w:t>，</w:t>
      </w:r>
      <w:r>
        <w:rPr>
          <w:rFonts w:hint="eastAsia" w:ascii="仿宋" w:hAnsi="仿宋" w:eastAsia="仿宋" w:cs="仿宋_GB2312"/>
          <w:sz w:val="32"/>
          <w:szCs w:val="32"/>
        </w:rPr>
        <w:t>受</w:t>
      </w:r>
      <w:r>
        <w:rPr>
          <w:rFonts w:ascii="仿宋" w:hAnsi="仿宋" w:eastAsia="仿宋" w:cs="仿宋_GB2312"/>
          <w:sz w:val="32"/>
          <w:szCs w:val="32"/>
        </w:rPr>
        <w:t>益人数</w:t>
      </w:r>
      <w:r>
        <w:rPr>
          <w:rFonts w:hint="eastAsia" w:ascii="仿宋" w:hAnsi="仿宋" w:eastAsia="仿宋" w:cs="仿宋_GB2312"/>
          <w:sz w:val="32"/>
          <w:szCs w:val="32"/>
        </w:rPr>
        <w:t>7000余人</w:t>
      </w:r>
      <w:r>
        <w:rPr>
          <w:rFonts w:ascii="仿宋" w:hAnsi="仿宋" w:eastAsia="仿宋" w:cs="仿宋_GB2312"/>
          <w:sz w:val="32"/>
          <w:szCs w:val="32"/>
        </w:rPr>
        <w:t>次</w:t>
      </w:r>
      <w:r>
        <w:rPr>
          <w:rFonts w:hint="eastAsia" w:ascii="仿宋" w:hAnsi="仿宋" w:eastAsia="仿宋" w:cs="仿宋_GB2312"/>
          <w:sz w:val="32"/>
          <w:szCs w:val="32"/>
        </w:rPr>
        <w:t>；积极做好志愿者服务。</w:t>
      </w:r>
      <w:r>
        <w:rPr>
          <w:rFonts w:hint="eastAsia" w:ascii="仿宋" w:hAnsi="仿宋" w:eastAsia="仿宋" w:cs="微软雅黑"/>
          <w:sz w:val="32"/>
          <w:szCs w:val="32"/>
          <w:shd w:val="clear" w:color="auto" w:fill="FFFFFF"/>
        </w:rPr>
        <w:t>面向社会招募博物馆第二期成人志愿者20人及第三期小小讲解志愿者30人，</w:t>
      </w:r>
      <w:r>
        <w:rPr>
          <w:rFonts w:hint="eastAsia" w:ascii="仿宋" w:hAnsi="仿宋" w:eastAsia="仿宋" w:cs="仿宋_GB2312"/>
          <w:sz w:val="32"/>
          <w:szCs w:val="32"/>
        </w:rPr>
        <w:t>现共有志愿者74名，全年为游客提供免费服务近700次，受益人数约7000人次；</w:t>
      </w:r>
      <w:r>
        <w:rPr>
          <w:rFonts w:hint="eastAsia" w:ascii="仿宋" w:hAnsi="仿宋" w:eastAsia="仿宋" w:cs="微软雅黑"/>
          <w:sz w:val="32"/>
          <w:szCs w:val="32"/>
          <w:shd w:val="clear" w:color="auto" w:fill="FFFFFF"/>
        </w:rPr>
        <w:t>用心做好数字化博物馆。</w:t>
      </w:r>
      <w:r>
        <w:rPr>
          <w:rFonts w:hint="eastAsia" w:ascii="仿宋" w:hAnsi="仿宋" w:eastAsia="仿宋"/>
          <w:sz w:val="32"/>
          <w:szCs w:val="32"/>
        </w:rPr>
        <w:t>针对疫情防控需要，攀枝花中国三线建设博物馆推出了数字化博物馆和手机移动博物馆，让参观者足不出户即可“逛”全景式博物</w:t>
      </w:r>
      <w:r>
        <w:rPr>
          <w:rFonts w:hint="eastAsia" w:ascii="仿宋" w:hAnsi="仿宋" w:eastAsia="仿宋" w:cs="仿宋_GB2312"/>
          <w:sz w:val="32"/>
          <w:szCs w:val="32"/>
        </w:rPr>
        <w:t>馆，今年</w:t>
      </w:r>
      <w:r>
        <w:rPr>
          <w:rFonts w:hint="eastAsia" w:ascii="仿宋" w:hAnsi="仿宋" w:eastAsia="仿宋"/>
          <w:sz w:val="32"/>
          <w:szCs w:val="32"/>
        </w:rPr>
        <w:t>攀枝花中国三线建设博物馆</w:t>
      </w:r>
      <w:r>
        <w:rPr>
          <w:rFonts w:hint="eastAsia" w:ascii="仿宋" w:hAnsi="仿宋" w:eastAsia="仿宋" w:cs="仿宋_GB2312"/>
          <w:sz w:val="32"/>
          <w:szCs w:val="32"/>
        </w:rPr>
        <w:t>官网浏览量大幅增加，截至目前网站流量近15万人</w:t>
      </w:r>
      <w:r>
        <w:rPr>
          <w:rFonts w:hint="eastAsia" w:ascii="仿宋" w:hAnsi="仿宋" w:eastAsia="仿宋"/>
          <w:sz w:val="32"/>
          <w:szCs w:val="32"/>
        </w:rPr>
        <w:t>次；</w:t>
      </w:r>
      <w:r>
        <w:rPr>
          <w:rFonts w:ascii="仿宋" w:hAnsi="仿宋" w:eastAsia="仿宋"/>
          <w:sz w:val="32"/>
          <w:szCs w:val="32"/>
        </w:rPr>
        <w:t>通过官方抖音号，推出《弘扬三线精神</w:t>
      </w:r>
      <w:r>
        <w:rPr>
          <w:rFonts w:hint="eastAsia" w:ascii="宋体" w:hAnsi="宋体" w:cs="宋体"/>
          <w:sz w:val="32"/>
          <w:szCs w:val="32"/>
        </w:rPr>
        <w:t> </w:t>
      </w:r>
      <w:r>
        <w:rPr>
          <w:rFonts w:ascii="仿宋" w:hAnsi="仿宋" w:eastAsia="仿宋"/>
          <w:sz w:val="32"/>
          <w:szCs w:val="32"/>
        </w:rPr>
        <w:t>传播三线文化》系列线上爱国主义教育活动、社教活动实时动态信息，截至目前，</w:t>
      </w:r>
      <w:r>
        <w:rPr>
          <w:rFonts w:hint="eastAsia" w:ascii="仿宋" w:hAnsi="仿宋" w:eastAsia="仿宋"/>
          <w:sz w:val="32"/>
          <w:szCs w:val="32"/>
        </w:rPr>
        <w:t>攀枝花中国三线建设博物馆</w:t>
      </w:r>
      <w:r>
        <w:rPr>
          <w:rFonts w:ascii="仿宋" w:hAnsi="仿宋" w:eastAsia="仿宋"/>
          <w:sz w:val="32"/>
          <w:szCs w:val="32"/>
        </w:rPr>
        <w:t>官方抖音号视频浏览量已达19万余人次</w:t>
      </w:r>
      <w:r>
        <w:rPr>
          <w:rFonts w:hint="eastAsia" w:ascii="仿宋" w:hAnsi="仿宋" w:eastAsia="仿宋"/>
          <w:sz w:val="32"/>
          <w:szCs w:val="32"/>
        </w:rPr>
        <w:t>；大众点评、美团等网络平台上对攀枝花中国三线建设博物馆的评价均在4.8分以上的好评。</w:t>
      </w:r>
    </w:p>
    <w:p>
      <w:pPr>
        <w:pStyle w:val="4"/>
        <w:numPr>
          <w:ilvl w:val="0"/>
          <w:numId w:val="1"/>
        </w:numPr>
        <w:rPr>
          <w:rFonts w:hint="eastAsia" w:ascii="Times New Roman" w:hAnsi="Times New Roman" w:eastAsia="黑体" w:cs="Times New Roman"/>
          <w:b w:val="0"/>
          <w:lang w:eastAsia="zh-CN"/>
        </w:rPr>
      </w:pPr>
      <w:r>
        <w:rPr>
          <w:rFonts w:hint="eastAsia" w:ascii="Times New Roman" w:hAnsi="Times New Roman" w:eastAsia="黑体" w:cs="Times New Roman"/>
          <w:b w:val="0"/>
          <w:lang w:eastAsia="zh-CN"/>
        </w:rPr>
        <w:t>机构设置情况</w:t>
      </w:r>
    </w:p>
    <w:p>
      <w:pPr>
        <w:ind w:firstLine="640" w:firstLineChars="200"/>
        <w:rPr>
          <w:rFonts w:hint="eastAsia" w:ascii="Times New Roman" w:hAnsi="Times New Roman" w:eastAsia="仿宋" w:cs="Times New Roman"/>
          <w:sz w:val="32"/>
          <w:szCs w:val="32"/>
        </w:rPr>
      </w:pPr>
      <w:r>
        <w:rPr>
          <w:rFonts w:hint="eastAsia" w:ascii="仿宋" w:hAnsi="仿宋" w:eastAsia="仿宋"/>
          <w:kern w:val="0"/>
          <w:sz w:val="32"/>
          <w:szCs w:val="32"/>
        </w:rPr>
        <w:t>攀枝花中国三线建设博物馆</w:t>
      </w:r>
      <w:r>
        <w:rPr>
          <w:rFonts w:hint="default" w:ascii="Times New Roman" w:hAnsi="Times New Roman" w:eastAsia="仿宋" w:cs="Times New Roman"/>
          <w:sz w:val="32"/>
          <w:szCs w:val="32"/>
        </w:rPr>
        <w:t>属</w:t>
      </w:r>
      <w:r>
        <w:rPr>
          <w:rFonts w:hint="eastAsia" w:ascii="Times New Roman" w:hAnsi="Times New Roman" w:eastAsia="仿宋" w:cs="Times New Roman"/>
          <w:sz w:val="32"/>
          <w:szCs w:val="32"/>
          <w:lang w:eastAsia="zh-CN"/>
        </w:rPr>
        <w:t>于</w:t>
      </w:r>
      <w:r>
        <w:rPr>
          <w:rFonts w:hint="default" w:ascii="Times New Roman" w:hAnsi="Times New Roman" w:eastAsia="仿宋" w:cs="Times New Roman"/>
          <w:sz w:val="32"/>
          <w:szCs w:val="32"/>
        </w:rPr>
        <w:t>攀枝花市文化广播电视和旅游局</w:t>
      </w:r>
      <w:r>
        <w:rPr>
          <w:rFonts w:hint="eastAsia" w:ascii="Times New Roman" w:hAnsi="Times New Roman" w:eastAsia="仿宋" w:cs="Times New Roman"/>
          <w:sz w:val="32"/>
          <w:szCs w:val="32"/>
        </w:rPr>
        <w:t>部门下属的二级预算单位</w:t>
      </w:r>
      <w:r>
        <w:rPr>
          <w:rFonts w:hint="eastAsia" w:ascii="Times New Roman" w:hAnsi="Times New Roman" w:eastAsia="仿宋" w:cs="Times New Roman"/>
          <w:sz w:val="32"/>
          <w:szCs w:val="32"/>
          <w:lang w:eastAsia="zh-CN"/>
        </w:rPr>
        <w:t>，下设</w:t>
      </w:r>
      <w:r>
        <w:rPr>
          <w:rFonts w:hint="eastAsia" w:ascii="Times New Roman" w:hAnsi="Times New Roman" w:eastAsia="仿宋" w:cs="Times New Roman"/>
          <w:sz w:val="32"/>
          <w:szCs w:val="32"/>
        </w:rPr>
        <w:t>独立编制机构</w:t>
      </w:r>
      <w:r>
        <w:rPr>
          <w:rFonts w:hint="eastAsia" w:eastAsia="仿宋" w:cs="Times New Roman"/>
          <w:sz w:val="32"/>
          <w:szCs w:val="32"/>
          <w:lang w:val="en-US" w:eastAsia="zh-CN"/>
        </w:rPr>
        <w:t>0</w:t>
      </w:r>
      <w:r>
        <w:rPr>
          <w:rFonts w:hint="eastAsia" w:ascii="Times New Roman" w:hAnsi="Times New Roman" w:eastAsia="仿宋" w:cs="Times New Roman"/>
          <w:sz w:val="32"/>
          <w:szCs w:val="32"/>
        </w:rPr>
        <w:t>个，其中行政机构</w:t>
      </w:r>
      <w:r>
        <w:rPr>
          <w:rFonts w:hint="eastAsia" w:eastAsia="仿宋" w:cs="Times New Roman"/>
          <w:sz w:val="32"/>
          <w:szCs w:val="32"/>
          <w:lang w:val="en-US" w:eastAsia="zh-CN"/>
        </w:rPr>
        <w:t>0</w:t>
      </w:r>
      <w:r>
        <w:rPr>
          <w:rFonts w:hint="eastAsia" w:ascii="Times New Roman" w:hAnsi="Times New Roman" w:eastAsia="仿宋" w:cs="Times New Roman"/>
          <w:sz w:val="32"/>
          <w:szCs w:val="32"/>
        </w:rPr>
        <w:t>个，参照公务员法管理的事业机构</w:t>
      </w:r>
      <w:r>
        <w:rPr>
          <w:rFonts w:hint="eastAsia" w:ascii="Times New Roman" w:hAnsi="Times New Roman" w:eastAsia="仿宋" w:cs="Times New Roman"/>
          <w:sz w:val="32"/>
          <w:szCs w:val="32"/>
          <w:lang w:val="en-US" w:eastAsia="zh-CN"/>
        </w:rPr>
        <w:t>0</w:t>
      </w:r>
      <w:r>
        <w:rPr>
          <w:rFonts w:hint="eastAsia" w:ascii="Times New Roman" w:hAnsi="Times New Roman" w:eastAsia="仿宋" w:cs="Times New Roman"/>
          <w:sz w:val="32"/>
          <w:szCs w:val="32"/>
        </w:rPr>
        <w:t>个，其他事业机构</w:t>
      </w:r>
      <w:r>
        <w:rPr>
          <w:rFonts w:hint="eastAsia" w:ascii="Times New Roman" w:hAnsi="Times New Roman" w:eastAsia="仿宋" w:cs="Times New Roman"/>
          <w:sz w:val="32"/>
          <w:szCs w:val="32"/>
          <w:lang w:val="en-US" w:eastAsia="zh-CN"/>
        </w:rPr>
        <w:t>0</w:t>
      </w:r>
      <w:r>
        <w:rPr>
          <w:rFonts w:hint="eastAsia" w:ascii="Times New Roman" w:hAnsi="Times New Roman" w:eastAsia="仿宋" w:cs="Times New Roman"/>
          <w:sz w:val="32"/>
          <w:szCs w:val="32"/>
        </w:rPr>
        <w:t>个。</w:t>
      </w:r>
    </w:p>
    <w:p>
      <w:pPr>
        <w:spacing w:line="560" w:lineRule="exact"/>
        <w:ind w:firstLine="640" w:firstLineChars="200"/>
        <w:rPr>
          <w:rFonts w:ascii="仿宋_GB2312" w:eastAsia="仿宋_GB2312"/>
          <w:sz w:val="32"/>
          <w:szCs w:val="32"/>
        </w:rPr>
      </w:pPr>
      <w:r>
        <w:rPr>
          <w:rFonts w:hint="eastAsia" w:ascii="Times New Roman" w:hAnsi="Times New Roman" w:eastAsia="仿宋" w:cs="Times New Roman"/>
          <w:sz w:val="32"/>
          <w:szCs w:val="32"/>
        </w:rPr>
        <w:t>纳入2021年度单位决算编制范围的独立编制机构包括</w:t>
      </w:r>
      <w:r>
        <w:rPr>
          <w:rFonts w:hint="eastAsia" w:ascii="Times New Roman" w:hAnsi="Times New Roman" w:eastAsia="仿宋" w:cs="Times New Roman"/>
          <w:sz w:val="32"/>
          <w:szCs w:val="32"/>
          <w:lang w:eastAsia="zh-CN"/>
        </w:rPr>
        <w:t>：</w:t>
      </w:r>
      <w:r>
        <w:rPr>
          <w:rFonts w:hint="eastAsia" w:eastAsia="仿宋" w:cs="Times New Roman"/>
          <w:sz w:val="32"/>
          <w:szCs w:val="32"/>
          <w:lang w:eastAsia="zh-CN"/>
        </w:rPr>
        <w:t>无</w:t>
      </w:r>
      <w:r>
        <w:rPr>
          <w:rFonts w:hint="eastAsia" w:ascii="Times New Roman" w:hAnsi="Times New Roman" w:eastAsia="仿宋" w:cs="Times New Roman"/>
          <w:sz w:val="32"/>
          <w:szCs w:val="32"/>
          <w:lang w:eastAsia="zh-CN"/>
        </w:rPr>
        <w:t>。</w:t>
      </w:r>
    </w:p>
    <w:p>
      <w:pPr>
        <w:widowControl/>
        <w:jc w:val="left"/>
        <w:rPr>
          <w:rFonts w:ascii="仿宋" w:hAnsi="仿宋" w:eastAsia="仿宋"/>
          <w:kern w:val="0"/>
          <w:sz w:val="32"/>
          <w:szCs w:val="32"/>
        </w:rPr>
      </w:pPr>
      <w:r>
        <w:rPr>
          <w:rFonts w:ascii="仿宋" w:hAnsi="仿宋" w:eastAsia="仿宋"/>
          <w:sz w:val="32"/>
          <w:szCs w:val="32"/>
        </w:rPr>
        <w:br w:type="page"/>
      </w:r>
    </w:p>
    <w:p>
      <w:pPr>
        <w:pStyle w:val="3"/>
        <w:ind w:right="440"/>
        <w:jc w:val="center"/>
        <w:rPr>
          <w:rStyle w:val="24"/>
          <w:rFonts w:ascii="黑体" w:hAnsi="黑体" w:eastAsia="黑体"/>
          <w:b w:val="0"/>
          <w:bCs/>
        </w:rPr>
      </w:pPr>
      <w:bookmarkStart w:id="17" w:name="_Toc113008479"/>
      <w:bookmarkStart w:id="18" w:name="_Toc15377204"/>
      <w:bookmarkStart w:id="19" w:name="_Toc15396602"/>
      <w:r>
        <w:rPr>
          <w:rFonts w:hint="eastAsia" w:ascii="黑体" w:hAnsi="黑体" w:eastAsia="黑体"/>
          <w:b w:val="0"/>
        </w:rPr>
        <w:t>第二部分 2021年度</w:t>
      </w:r>
      <w:r>
        <w:rPr>
          <w:rStyle w:val="24"/>
          <w:rFonts w:hint="eastAsia" w:ascii="黑体" w:hAnsi="黑体" w:eastAsia="黑体"/>
          <w:b w:val="0"/>
          <w:bCs/>
        </w:rPr>
        <w:t>单位决算情况说明</w:t>
      </w:r>
      <w:bookmarkEnd w:id="17"/>
      <w:bookmarkEnd w:id="18"/>
      <w:bookmarkEnd w:id="19"/>
    </w:p>
    <w:p/>
    <w:p>
      <w:pPr>
        <w:pStyle w:val="23"/>
        <w:spacing w:line="600" w:lineRule="exact"/>
        <w:ind w:left="640" w:firstLine="0" w:firstLineChars="0"/>
        <w:outlineLvl w:val="1"/>
        <w:rPr>
          <w:rStyle w:val="25"/>
          <w:rFonts w:ascii="黑体" w:hAnsi="黑体" w:eastAsia="黑体"/>
          <w:b w:val="0"/>
        </w:rPr>
      </w:pPr>
      <w:bookmarkStart w:id="20" w:name="_Toc15396603"/>
      <w:bookmarkStart w:id="21" w:name="_Toc113008480"/>
      <w:bookmarkStart w:id="22" w:name="_Toc15377205"/>
      <w:r>
        <w:rPr>
          <w:rFonts w:hint="eastAsia" w:ascii="黑体" w:hAnsi="黑体" w:eastAsia="黑体"/>
          <w:sz w:val="32"/>
          <w:szCs w:val="32"/>
        </w:rPr>
        <w:t>一、收</w:t>
      </w:r>
      <w:r>
        <w:rPr>
          <w:rStyle w:val="25"/>
          <w:rFonts w:hint="eastAsia" w:ascii="黑体" w:hAnsi="黑体" w:eastAsia="黑体"/>
          <w:b w:val="0"/>
        </w:rPr>
        <w:t>入支出决算总体情况说明</w:t>
      </w:r>
      <w:bookmarkEnd w:id="20"/>
      <w:bookmarkEnd w:id="21"/>
      <w:bookmarkEnd w:id="22"/>
    </w:p>
    <w:p>
      <w:pPr>
        <w:spacing w:line="600" w:lineRule="exact"/>
        <w:ind w:firstLine="640" w:firstLineChars="200"/>
        <w:rPr>
          <w:rFonts w:ascii="仿宋" w:hAnsi="仿宋" w:eastAsia="仿宋"/>
          <w:sz w:val="32"/>
          <w:szCs w:val="32"/>
        </w:rPr>
      </w:pPr>
      <w:r>
        <w:rPr>
          <w:rFonts w:hint="eastAsia" w:ascii="仿宋" w:hAnsi="仿宋" w:eastAsia="仿宋"/>
          <w:sz w:val="32"/>
          <w:szCs w:val="32"/>
        </w:rPr>
        <w:t>2021年度收、支总计1029.62万元。与2020年相比，</w:t>
      </w:r>
      <w:r>
        <w:rPr>
          <w:rFonts w:eastAsia="仿宋"/>
          <w:color w:val="000000"/>
          <w:sz w:val="32"/>
          <w:szCs w:val="32"/>
        </w:rPr>
        <w:t>收入减少</w:t>
      </w:r>
      <w:r>
        <w:rPr>
          <w:rFonts w:hint="eastAsia" w:ascii="仿宋_GB2312" w:eastAsia="仿宋"/>
          <w:sz w:val="32"/>
          <w:szCs w:val="32"/>
        </w:rPr>
        <w:t>713.11</w:t>
      </w:r>
      <w:r>
        <w:rPr>
          <w:rFonts w:hint="eastAsia" w:ascii="仿宋_GB2312"/>
          <w:sz w:val="32"/>
          <w:szCs w:val="32"/>
        </w:rPr>
        <w:t>万元，下降40.92</w:t>
      </w:r>
      <w:r>
        <w:rPr>
          <w:rFonts w:ascii="仿宋_GB2312"/>
          <w:sz w:val="32"/>
          <w:szCs w:val="32"/>
        </w:rPr>
        <w:t>%</w:t>
      </w:r>
      <w:r>
        <w:rPr>
          <w:rFonts w:hint="eastAsia" w:ascii="仿宋_GB2312"/>
          <w:sz w:val="32"/>
          <w:szCs w:val="32"/>
        </w:rPr>
        <w:t>；支出减少</w:t>
      </w:r>
      <w:r>
        <w:rPr>
          <w:rFonts w:hint="eastAsia" w:ascii="仿宋_GB2312" w:eastAsia="仿宋"/>
          <w:sz w:val="32"/>
          <w:szCs w:val="32"/>
        </w:rPr>
        <w:t>713.11</w:t>
      </w:r>
      <w:r>
        <w:rPr>
          <w:rFonts w:hint="eastAsia" w:ascii="仿宋_GB2312"/>
          <w:sz w:val="32"/>
          <w:szCs w:val="32"/>
        </w:rPr>
        <w:t>万元，下降40.92</w:t>
      </w:r>
      <w:r>
        <w:rPr>
          <w:rFonts w:ascii="仿宋_GB2312"/>
          <w:sz w:val="32"/>
          <w:szCs w:val="32"/>
        </w:rPr>
        <w:t>%</w:t>
      </w:r>
      <w:r>
        <w:rPr>
          <w:rFonts w:hint="eastAsia" w:ascii="仿宋" w:hAnsi="仿宋" w:eastAsia="仿宋"/>
          <w:sz w:val="32"/>
          <w:szCs w:val="32"/>
        </w:rPr>
        <w:t>。主要变动原因是2021年年初财政结转结余与2020年相比减少685.44万元，2021年本年收入与2020年相比减少27.67万元造成。</w:t>
      </w:r>
    </w:p>
    <w:p>
      <w:pPr>
        <w:pStyle w:val="2"/>
        <w:spacing w:before="93"/>
        <w:jc w:val="center"/>
      </w:pPr>
      <w:r>
        <w:drawing>
          <wp:inline distT="0" distB="0" distL="0" distR="0">
            <wp:extent cx="4572000" cy="2743200"/>
            <wp:effectExtent l="0" t="0" r="19050" b="1905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spacing w:line="600" w:lineRule="exact"/>
        <w:ind w:firstLine="640" w:firstLineChars="200"/>
        <w:jc w:val="left"/>
        <w:rPr>
          <w:rFonts w:ascii="仿宋_GB2312" w:eastAsia="仿宋_GB2312"/>
          <w:sz w:val="32"/>
          <w:szCs w:val="32"/>
        </w:rPr>
      </w:pPr>
    </w:p>
    <w:p>
      <w:pPr>
        <w:pStyle w:val="23"/>
        <w:spacing w:line="600" w:lineRule="exact"/>
        <w:ind w:left="640" w:firstLine="0" w:firstLineChars="0"/>
        <w:outlineLvl w:val="1"/>
        <w:rPr>
          <w:rStyle w:val="25"/>
          <w:rFonts w:ascii="黑体" w:hAnsi="黑体" w:eastAsia="黑体"/>
          <w:b w:val="0"/>
        </w:rPr>
      </w:pPr>
      <w:bookmarkStart w:id="23" w:name="_Toc15396604"/>
      <w:bookmarkStart w:id="24" w:name="_Toc15377206"/>
      <w:bookmarkStart w:id="25" w:name="_Toc113008481"/>
      <w:r>
        <w:rPr>
          <w:rFonts w:hint="eastAsia" w:ascii="黑体" w:hAnsi="黑体" w:eastAsia="黑体"/>
          <w:sz w:val="32"/>
          <w:szCs w:val="32"/>
        </w:rPr>
        <w:t>二、收</w:t>
      </w:r>
      <w:r>
        <w:rPr>
          <w:rStyle w:val="25"/>
          <w:rFonts w:hint="eastAsia" w:ascii="黑体" w:hAnsi="黑体" w:eastAsia="黑体"/>
          <w:b w:val="0"/>
        </w:rPr>
        <w:t>入决算情况说明</w:t>
      </w:r>
      <w:bookmarkEnd w:id="23"/>
      <w:bookmarkEnd w:id="24"/>
      <w:bookmarkEnd w:id="25"/>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21年本年收入合计968.65万元，其中：一般公共预算财政拨款收入934.69万元，占96.49</w:t>
      </w:r>
      <w:r>
        <w:rPr>
          <w:rFonts w:ascii="仿宋" w:hAnsi="仿宋" w:eastAsia="仿宋"/>
          <w:sz w:val="32"/>
          <w:szCs w:val="32"/>
        </w:rPr>
        <w:t>%</w:t>
      </w:r>
      <w:r>
        <w:rPr>
          <w:rFonts w:hint="eastAsia" w:ascii="仿宋" w:hAnsi="仿宋" w:eastAsia="仿宋"/>
          <w:sz w:val="32"/>
          <w:szCs w:val="32"/>
        </w:rPr>
        <w:t>；其他收入33.96万元，占3.51</w:t>
      </w:r>
      <w:r>
        <w:rPr>
          <w:rFonts w:ascii="仿宋" w:hAnsi="仿宋" w:eastAsia="仿宋"/>
          <w:sz w:val="32"/>
          <w:szCs w:val="32"/>
        </w:rPr>
        <w:t>%</w:t>
      </w:r>
      <w:r>
        <w:rPr>
          <w:rFonts w:hint="eastAsia" w:ascii="仿宋" w:hAnsi="仿宋" w:eastAsia="仿宋"/>
          <w:sz w:val="32"/>
          <w:szCs w:val="32"/>
        </w:rPr>
        <w:t>。</w:t>
      </w:r>
    </w:p>
    <w:p>
      <w:pPr>
        <w:pStyle w:val="2"/>
        <w:spacing w:before="93"/>
        <w:jc w:val="center"/>
      </w:pPr>
      <w:r>
        <w:drawing>
          <wp:inline distT="0" distB="0" distL="0" distR="0">
            <wp:extent cx="4676775" cy="2743200"/>
            <wp:effectExtent l="0" t="0" r="9525" b="1905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jc w:val="center"/>
        <w:rPr>
          <w:rFonts w:ascii="仿宋" w:hAnsi="仿宋" w:eastAsia="仿宋"/>
          <w:sz w:val="32"/>
          <w:szCs w:val="32"/>
        </w:rPr>
      </w:pPr>
      <w:r>
        <w:rPr>
          <w:rFonts w:hint="eastAsia" w:ascii="仿宋" w:hAnsi="仿宋" w:eastAsia="仿宋"/>
          <w:sz w:val="32"/>
          <w:szCs w:val="32"/>
        </w:rPr>
        <w:t>（图2：收入决算结构图）（饼状图）</w:t>
      </w:r>
    </w:p>
    <w:p>
      <w:pPr>
        <w:spacing w:line="600" w:lineRule="exact"/>
        <w:ind w:firstLine="640" w:firstLineChars="200"/>
        <w:rPr>
          <w:rFonts w:ascii="仿宋_GB2312" w:eastAsia="仿宋_GB2312"/>
          <w:sz w:val="32"/>
          <w:szCs w:val="32"/>
        </w:rPr>
      </w:pPr>
    </w:p>
    <w:p>
      <w:pPr>
        <w:pStyle w:val="23"/>
        <w:spacing w:line="600" w:lineRule="exact"/>
        <w:ind w:left="640" w:firstLine="0" w:firstLineChars="0"/>
        <w:outlineLvl w:val="1"/>
        <w:rPr>
          <w:rStyle w:val="25"/>
          <w:rFonts w:ascii="黑体" w:hAnsi="黑体" w:eastAsia="黑体"/>
          <w:b w:val="0"/>
        </w:rPr>
      </w:pPr>
      <w:bookmarkStart w:id="26" w:name="_Toc113008482"/>
      <w:bookmarkStart w:id="27" w:name="_Toc15396605"/>
      <w:bookmarkStart w:id="28" w:name="_Toc15377207"/>
      <w:r>
        <w:rPr>
          <w:rFonts w:hint="eastAsia" w:ascii="黑体" w:hAnsi="黑体" w:eastAsia="黑体"/>
          <w:sz w:val="32"/>
          <w:szCs w:val="32"/>
        </w:rPr>
        <w:t>三、支</w:t>
      </w:r>
      <w:r>
        <w:rPr>
          <w:rStyle w:val="25"/>
          <w:rFonts w:hint="eastAsia" w:ascii="黑体" w:hAnsi="黑体" w:eastAsia="黑体"/>
          <w:b w:val="0"/>
        </w:rPr>
        <w:t>出决算情况说明</w:t>
      </w:r>
      <w:bookmarkEnd w:id="26"/>
      <w:bookmarkEnd w:id="27"/>
      <w:bookmarkEnd w:id="28"/>
    </w:p>
    <w:p>
      <w:pPr>
        <w:spacing w:line="600" w:lineRule="exact"/>
        <w:ind w:firstLine="640" w:firstLineChars="200"/>
        <w:rPr>
          <w:rFonts w:ascii="仿宋" w:hAnsi="仿宋" w:eastAsia="仿宋"/>
          <w:sz w:val="32"/>
          <w:szCs w:val="32"/>
          <w:shd w:val="pct10" w:color="auto" w:fill="FFFFFF"/>
        </w:rPr>
      </w:pPr>
      <w:r>
        <w:rPr>
          <w:rFonts w:ascii="仿宋" w:hAnsi="仿宋" w:eastAsia="仿宋"/>
          <w:sz w:val="32"/>
          <w:szCs w:val="32"/>
        </w:rPr>
        <w:t>20</w:t>
      </w:r>
      <w:r>
        <w:rPr>
          <w:rFonts w:hint="eastAsia" w:ascii="仿宋" w:hAnsi="仿宋" w:eastAsia="仿宋"/>
          <w:sz w:val="32"/>
          <w:szCs w:val="32"/>
        </w:rPr>
        <w:t>21年本年支出合计1029.62万元，其中：基本支出400.95万元，占38.94</w:t>
      </w:r>
      <w:r>
        <w:rPr>
          <w:rFonts w:ascii="仿宋" w:hAnsi="仿宋" w:eastAsia="仿宋"/>
          <w:sz w:val="32"/>
          <w:szCs w:val="32"/>
        </w:rPr>
        <w:t>%</w:t>
      </w:r>
      <w:r>
        <w:rPr>
          <w:rFonts w:hint="eastAsia" w:ascii="仿宋" w:hAnsi="仿宋" w:eastAsia="仿宋"/>
          <w:sz w:val="32"/>
          <w:szCs w:val="32"/>
        </w:rPr>
        <w:t>；项目支出628.67万元，占61.06</w:t>
      </w:r>
      <w:r>
        <w:rPr>
          <w:rFonts w:ascii="仿宋" w:hAnsi="仿宋" w:eastAsia="仿宋"/>
          <w:sz w:val="32"/>
          <w:szCs w:val="32"/>
        </w:rPr>
        <w:t>%</w:t>
      </w:r>
      <w:r>
        <w:rPr>
          <w:rFonts w:hint="eastAsia" w:ascii="仿宋" w:hAnsi="仿宋" w:eastAsia="仿宋"/>
          <w:sz w:val="32"/>
          <w:szCs w:val="32"/>
        </w:rPr>
        <w:t>。</w:t>
      </w:r>
    </w:p>
    <w:p>
      <w:pPr>
        <w:pStyle w:val="2"/>
        <w:spacing w:before="93"/>
        <w:jc w:val="center"/>
      </w:pPr>
      <w:r>
        <w:drawing>
          <wp:inline distT="0" distB="0" distL="0" distR="0">
            <wp:extent cx="4572000" cy="2743200"/>
            <wp:effectExtent l="0" t="0" r="19050" b="1905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0" w:firstLineChars="200"/>
        <w:jc w:val="center"/>
        <w:rPr>
          <w:rFonts w:ascii="仿宋" w:hAnsi="仿宋" w:eastAsia="仿宋"/>
          <w:sz w:val="32"/>
          <w:szCs w:val="32"/>
        </w:rPr>
      </w:pPr>
      <w:r>
        <w:rPr>
          <w:rFonts w:hint="eastAsia" w:ascii="仿宋" w:hAnsi="仿宋" w:eastAsia="仿宋"/>
          <w:sz w:val="32"/>
          <w:szCs w:val="32"/>
        </w:rPr>
        <w:t>（图3：支出决算结构图）（饼状图）</w:t>
      </w:r>
    </w:p>
    <w:p>
      <w:pPr>
        <w:spacing w:line="600" w:lineRule="exact"/>
        <w:ind w:firstLine="640" w:firstLineChars="200"/>
        <w:rPr>
          <w:rFonts w:ascii="仿宋_GB2312" w:eastAsia="仿宋_GB2312"/>
          <w:sz w:val="32"/>
          <w:szCs w:val="32"/>
        </w:rPr>
      </w:pPr>
    </w:p>
    <w:p>
      <w:pPr>
        <w:spacing w:line="600" w:lineRule="exact"/>
        <w:ind w:firstLine="640" w:firstLineChars="200"/>
        <w:outlineLvl w:val="1"/>
        <w:rPr>
          <w:rStyle w:val="25"/>
          <w:rFonts w:ascii="黑体" w:hAnsi="黑体" w:eastAsia="黑体"/>
          <w:b w:val="0"/>
        </w:rPr>
      </w:pPr>
      <w:bookmarkStart w:id="29" w:name="_Toc15377208"/>
      <w:bookmarkStart w:id="30" w:name="_Toc113008483"/>
      <w:bookmarkStart w:id="31" w:name="_Toc15396606"/>
      <w:r>
        <w:rPr>
          <w:rFonts w:hint="eastAsia" w:ascii="黑体" w:hAnsi="黑体" w:eastAsia="黑体"/>
          <w:sz w:val="32"/>
          <w:szCs w:val="32"/>
        </w:rPr>
        <w:t>四、财</w:t>
      </w:r>
      <w:r>
        <w:rPr>
          <w:rStyle w:val="25"/>
          <w:rFonts w:hint="eastAsia" w:ascii="黑体" w:hAnsi="黑体" w:eastAsia="黑体"/>
          <w:b w:val="0"/>
        </w:rPr>
        <w:t>政拨款收入支出决算总体情况说明</w:t>
      </w:r>
      <w:bookmarkEnd w:id="29"/>
      <w:bookmarkEnd w:id="30"/>
      <w:bookmarkEnd w:id="31"/>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21年财政拨款收、支总计995.67万元。与</w:t>
      </w:r>
      <w:r>
        <w:rPr>
          <w:rFonts w:ascii="仿宋" w:hAnsi="仿宋" w:eastAsia="仿宋"/>
          <w:sz w:val="32"/>
          <w:szCs w:val="32"/>
        </w:rPr>
        <w:t>20</w:t>
      </w:r>
      <w:r>
        <w:rPr>
          <w:rFonts w:hint="eastAsia" w:ascii="仿宋" w:hAnsi="仿宋" w:eastAsia="仿宋"/>
          <w:sz w:val="32"/>
          <w:szCs w:val="32"/>
        </w:rPr>
        <w:t>20年相比，</w:t>
      </w:r>
      <w:r>
        <w:rPr>
          <w:rFonts w:eastAsia="仿宋"/>
          <w:color w:val="000000"/>
          <w:sz w:val="32"/>
          <w:szCs w:val="32"/>
        </w:rPr>
        <w:t>财政拨款收入减少</w:t>
      </w:r>
      <w:r>
        <w:rPr>
          <w:rFonts w:hint="eastAsia" w:eastAsia="仿宋"/>
          <w:color w:val="000000"/>
          <w:sz w:val="32"/>
          <w:szCs w:val="32"/>
        </w:rPr>
        <w:t>676.95万</w:t>
      </w:r>
      <w:r>
        <w:rPr>
          <w:rFonts w:eastAsia="仿宋"/>
          <w:color w:val="000000"/>
          <w:sz w:val="32"/>
          <w:szCs w:val="32"/>
        </w:rPr>
        <w:t>元，</w:t>
      </w:r>
      <w:r>
        <w:rPr>
          <w:rFonts w:hint="eastAsia" w:eastAsia="仿宋"/>
          <w:color w:val="000000"/>
          <w:sz w:val="32"/>
          <w:szCs w:val="32"/>
        </w:rPr>
        <w:t>下降40.47</w:t>
      </w:r>
      <w:r>
        <w:rPr>
          <w:rFonts w:eastAsia="仿宋"/>
          <w:color w:val="000000"/>
          <w:kern w:val="0"/>
          <w:sz w:val="32"/>
          <w:szCs w:val="32"/>
        </w:rPr>
        <w:t>%；</w:t>
      </w:r>
      <w:r>
        <w:rPr>
          <w:rFonts w:eastAsia="仿宋"/>
          <w:color w:val="000000"/>
          <w:sz w:val="32"/>
          <w:szCs w:val="32"/>
        </w:rPr>
        <w:t>财政拨款支出减少</w:t>
      </w:r>
      <w:r>
        <w:rPr>
          <w:rFonts w:hint="eastAsia" w:eastAsia="仿宋"/>
          <w:color w:val="000000"/>
          <w:sz w:val="32"/>
          <w:szCs w:val="32"/>
        </w:rPr>
        <w:t>676.95万</w:t>
      </w:r>
      <w:r>
        <w:rPr>
          <w:rFonts w:eastAsia="仿宋"/>
          <w:color w:val="000000"/>
          <w:sz w:val="32"/>
          <w:szCs w:val="32"/>
        </w:rPr>
        <w:t>元，</w:t>
      </w:r>
      <w:r>
        <w:rPr>
          <w:rFonts w:hint="eastAsia" w:eastAsia="仿宋"/>
          <w:color w:val="000000"/>
          <w:sz w:val="32"/>
          <w:szCs w:val="32"/>
        </w:rPr>
        <w:t>下降40.47</w:t>
      </w:r>
      <w:r>
        <w:rPr>
          <w:rFonts w:eastAsia="仿宋"/>
          <w:color w:val="000000"/>
          <w:kern w:val="0"/>
          <w:sz w:val="32"/>
          <w:szCs w:val="32"/>
        </w:rPr>
        <w:t>%</w:t>
      </w:r>
      <w:r>
        <w:rPr>
          <w:rFonts w:hint="eastAsia" w:ascii="仿宋" w:hAnsi="仿宋" w:eastAsia="仿宋"/>
          <w:sz w:val="32"/>
          <w:szCs w:val="32"/>
        </w:rPr>
        <w:t>。主要变动原因是2021年年初财政拨款结转和结余与2020年相比减少685.44万元，2021年财政拨款收入与2020年相比增加8.49万元造成。</w:t>
      </w:r>
    </w:p>
    <w:p>
      <w:pPr>
        <w:pStyle w:val="2"/>
        <w:spacing w:before="93"/>
        <w:jc w:val="center"/>
      </w:pPr>
      <w:r>
        <w:drawing>
          <wp:inline distT="0" distB="0" distL="0" distR="0">
            <wp:extent cx="4572000" cy="2743200"/>
            <wp:effectExtent l="0" t="0" r="19050" b="1905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Style w:val="2"/>
        <w:spacing w:before="93"/>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（图4：财政拨款收、支决算总计变动情况）（柱状图）</w:t>
      </w:r>
    </w:p>
    <w:p>
      <w:pPr>
        <w:spacing w:line="600" w:lineRule="exact"/>
        <w:ind w:firstLine="640"/>
        <w:rPr>
          <w:rFonts w:ascii="仿宋" w:hAnsi="仿宋" w:eastAsia="仿宋"/>
          <w:b/>
          <w:sz w:val="32"/>
          <w:szCs w:val="32"/>
        </w:rPr>
      </w:pPr>
    </w:p>
    <w:p>
      <w:pPr>
        <w:spacing w:line="600" w:lineRule="exact"/>
        <w:ind w:firstLine="640" w:firstLineChars="200"/>
        <w:outlineLvl w:val="1"/>
        <w:rPr>
          <w:rStyle w:val="25"/>
          <w:rFonts w:ascii="黑体" w:hAnsi="黑体" w:eastAsia="黑体"/>
          <w:b w:val="0"/>
        </w:rPr>
      </w:pPr>
      <w:bookmarkStart w:id="32" w:name="_Toc15396607"/>
      <w:bookmarkStart w:id="33" w:name="_Toc15377209"/>
      <w:bookmarkStart w:id="34" w:name="_Toc113008484"/>
      <w:r>
        <w:rPr>
          <w:rFonts w:hint="eastAsia" w:ascii="黑体" w:hAnsi="黑体" w:eastAsia="黑体"/>
          <w:sz w:val="32"/>
          <w:szCs w:val="32"/>
        </w:rPr>
        <w:t>五、</w:t>
      </w:r>
      <w:r>
        <w:rPr>
          <w:rFonts w:hint="eastAsia" w:ascii="黑体" w:hAnsi="黑体" w:eastAsia="黑体"/>
          <w:b/>
          <w:sz w:val="32"/>
          <w:szCs w:val="32"/>
        </w:rPr>
        <w:t>一</w:t>
      </w:r>
      <w:r>
        <w:rPr>
          <w:rStyle w:val="25"/>
          <w:rFonts w:hint="eastAsia" w:ascii="黑体" w:hAnsi="黑体" w:eastAsia="黑体"/>
          <w:b w:val="0"/>
        </w:rPr>
        <w:t>般公共预算财政拨款支出决算情况说明</w:t>
      </w:r>
      <w:bookmarkEnd w:id="32"/>
      <w:bookmarkEnd w:id="33"/>
      <w:bookmarkEnd w:id="34"/>
    </w:p>
    <w:p>
      <w:pPr>
        <w:spacing w:line="600" w:lineRule="exact"/>
        <w:ind w:firstLine="643" w:firstLineChars="200"/>
        <w:rPr>
          <w:rFonts w:ascii="仿宋" w:hAnsi="仿宋" w:eastAsia="仿宋"/>
          <w:b/>
          <w:sz w:val="32"/>
          <w:szCs w:val="32"/>
        </w:rPr>
      </w:pPr>
      <w:bookmarkStart w:id="35" w:name="_Toc15377210"/>
      <w:r>
        <w:rPr>
          <w:rFonts w:hint="eastAsia" w:ascii="仿宋" w:hAnsi="仿宋" w:eastAsia="仿宋"/>
          <w:b/>
          <w:sz w:val="32"/>
          <w:szCs w:val="32"/>
        </w:rPr>
        <w:t>（一）一般公共预算财政拨款支出决算总体情况</w:t>
      </w:r>
      <w:bookmarkEnd w:id="35"/>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21年一般公共预算财政拨款支出995.67万元，占本年支出合计的96.70</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20年相比，一般公共预算财政拨款支出减少434.38万元，下降30.38</w:t>
      </w:r>
      <w:r>
        <w:rPr>
          <w:rFonts w:ascii="仿宋" w:hAnsi="仿宋" w:eastAsia="仿宋"/>
          <w:sz w:val="32"/>
          <w:szCs w:val="32"/>
        </w:rPr>
        <w:t>%</w:t>
      </w:r>
      <w:r>
        <w:rPr>
          <w:rFonts w:hint="eastAsia" w:ascii="仿宋" w:hAnsi="仿宋" w:eastAsia="仿宋"/>
          <w:sz w:val="32"/>
          <w:szCs w:val="32"/>
        </w:rPr>
        <w:t>。主要变动原因是2021年的一般公共预算财政拨款结转结余收入支出与2020年相比减少454.85万元，2021的一般公共预算财政拨款当年收入支出与2020年相比增加20.47万元造成。</w:t>
      </w:r>
    </w:p>
    <w:p>
      <w:pPr>
        <w:pStyle w:val="2"/>
        <w:spacing w:before="93"/>
        <w:jc w:val="center"/>
      </w:pPr>
      <w:r>
        <w:drawing>
          <wp:inline distT="0" distB="0" distL="0" distR="0">
            <wp:extent cx="4572000" cy="3009900"/>
            <wp:effectExtent l="0" t="0" r="19050" b="1905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（图5：一般公共预算财政拨款支出决算变动情况）（柱状图）</w:t>
      </w:r>
    </w:p>
    <w:p>
      <w:pPr>
        <w:spacing w:line="600" w:lineRule="exact"/>
        <w:ind w:firstLine="640" w:firstLineChars="200"/>
        <w:rPr>
          <w:rFonts w:ascii="仿宋" w:hAnsi="仿宋" w:eastAsia="仿宋"/>
          <w:sz w:val="32"/>
          <w:szCs w:val="32"/>
        </w:rPr>
      </w:pPr>
    </w:p>
    <w:p>
      <w:pPr>
        <w:spacing w:line="600" w:lineRule="exact"/>
        <w:ind w:firstLine="643" w:firstLineChars="200"/>
        <w:rPr>
          <w:rFonts w:ascii="仿宋" w:hAnsi="仿宋" w:eastAsia="仿宋"/>
          <w:b/>
          <w:sz w:val="32"/>
          <w:szCs w:val="32"/>
        </w:rPr>
      </w:pPr>
      <w:bookmarkStart w:id="36" w:name="_Toc15377211"/>
      <w:r>
        <w:rPr>
          <w:rFonts w:hint="eastAsia" w:ascii="仿宋" w:hAnsi="仿宋" w:eastAsia="仿宋"/>
          <w:b/>
          <w:sz w:val="32"/>
          <w:szCs w:val="32"/>
        </w:rPr>
        <w:t>（二）一般公共预算财政拨款支出决算结构情况</w:t>
      </w:r>
      <w:bookmarkEnd w:id="36"/>
    </w:p>
    <w:p>
      <w:pPr>
        <w:spacing w:line="600" w:lineRule="exact"/>
        <w:ind w:firstLine="640"/>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21年一般公共预算财政拨款支出995.67万元，主要用于以下方面：</w:t>
      </w:r>
      <w:r>
        <w:rPr>
          <w:rFonts w:hint="eastAsia" w:ascii="仿宋" w:hAnsi="仿宋" w:eastAsia="仿宋"/>
          <w:b/>
          <w:sz w:val="32"/>
          <w:szCs w:val="32"/>
        </w:rPr>
        <w:t>一般公共服务（类）</w:t>
      </w:r>
      <w:r>
        <w:rPr>
          <w:rFonts w:hint="eastAsia" w:ascii="仿宋" w:hAnsi="仿宋" w:eastAsia="仿宋"/>
          <w:sz w:val="32"/>
          <w:szCs w:val="32"/>
        </w:rPr>
        <w:t>支出3.33万元，占0.34</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科学技术（类）</w:t>
      </w:r>
      <w:r>
        <w:rPr>
          <w:rFonts w:hint="eastAsia" w:ascii="仿宋" w:hAnsi="仿宋" w:eastAsia="仿宋"/>
          <w:sz w:val="32"/>
          <w:szCs w:val="32"/>
        </w:rPr>
        <w:t>支出17.90万元，占1.80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文化旅游体育与传媒（类）支出</w:t>
      </w:r>
      <w:r>
        <w:rPr>
          <w:rFonts w:hint="eastAsia" w:ascii="仿宋" w:hAnsi="仿宋" w:eastAsia="仿宋"/>
          <w:sz w:val="32"/>
          <w:szCs w:val="32"/>
        </w:rPr>
        <w:t>899.00万元</w:t>
      </w:r>
      <w:r>
        <w:rPr>
          <w:rFonts w:hint="eastAsia" w:ascii="仿宋" w:hAnsi="仿宋" w:eastAsia="仿宋"/>
          <w:b/>
          <w:bCs/>
          <w:sz w:val="32"/>
          <w:szCs w:val="32"/>
        </w:rPr>
        <w:t>，占</w:t>
      </w:r>
      <w:r>
        <w:rPr>
          <w:rFonts w:hint="eastAsia" w:ascii="仿宋" w:hAnsi="仿宋" w:eastAsia="仿宋"/>
          <w:sz w:val="32"/>
          <w:szCs w:val="32"/>
        </w:rPr>
        <w:t>90.29</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社会保障和就业（类）</w:t>
      </w:r>
      <w:r>
        <w:rPr>
          <w:rFonts w:hint="eastAsia" w:ascii="仿宋" w:hAnsi="仿宋" w:eastAsia="仿宋"/>
          <w:sz w:val="32"/>
          <w:szCs w:val="32"/>
        </w:rPr>
        <w:t>支出51.32万元，占5.15</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住房保障（类）支出</w:t>
      </w:r>
      <w:r>
        <w:rPr>
          <w:rFonts w:hint="eastAsia" w:ascii="仿宋" w:hAnsi="仿宋" w:eastAsia="仿宋"/>
          <w:sz w:val="32"/>
          <w:szCs w:val="32"/>
        </w:rPr>
        <w:t>24.12万元，占2.42</w:t>
      </w:r>
      <w:r>
        <w:rPr>
          <w:rFonts w:ascii="仿宋" w:hAnsi="仿宋" w:eastAsia="仿宋"/>
          <w:sz w:val="32"/>
          <w:szCs w:val="32"/>
        </w:rPr>
        <w:t>%</w:t>
      </w:r>
      <w:r>
        <w:rPr>
          <w:rFonts w:hint="eastAsia" w:ascii="仿宋" w:hAnsi="仿宋" w:eastAsia="仿宋"/>
          <w:sz w:val="32"/>
          <w:szCs w:val="32"/>
        </w:rPr>
        <w:t>。</w:t>
      </w:r>
    </w:p>
    <w:p>
      <w:pPr>
        <w:pStyle w:val="2"/>
        <w:spacing w:before="93"/>
        <w:jc w:val="center"/>
      </w:pPr>
      <w:r>
        <w:drawing>
          <wp:inline distT="0" distB="0" distL="0" distR="0">
            <wp:extent cx="4572000" cy="2743200"/>
            <wp:effectExtent l="0" t="0" r="19050" b="1905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（图6：一般公共预算财政拨款支出决算结构）（饼状图）</w:t>
      </w:r>
    </w:p>
    <w:p>
      <w:pPr>
        <w:spacing w:line="600" w:lineRule="exact"/>
        <w:ind w:firstLine="640" w:firstLineChars="200"/>
        <w:rPr>
          <w:rFonts w:ascii="仿宋" w:hAnsi="仿宋" w:eastAsia="仿宋"/>
          <w:sz w:val="32"/>
          <w:szCs w:val="32"/>
        </w:rPr>
      </w:pPr>
    </w:p>
    <w:p>
      <w:pPr>
        <w:spacing w:line="600" w:lineRule="exact"/>
        <w:ind w:firstLine="643" w:firstLineChars="200"/>
        <w:rPr>
          <w:rFonts w:ascii="仿宋" w:hAnsi="仿宋" w:eastAsia="仿宋"/>
          <w:b/>
          <w:sz w:val="32"/>
          <w:szCs w:val="32"/>
        </w:rPr>
      </w:pPr>
      <w:bookmarkStart w:id="37" w:name="_Toc15377212"/>
      <w:r>
        <w:rPr>
          <w:rFonts w:hint="eastAsia" w:ascii="仿宋" w:hAnsi="仿宋" w:eastAsia="仿宋"/>
          <w:b/>
          <w:sz w:val="32"/>
          <w:szCs w:val="32"/>
        </w:rPr>
        <w:t>（三）一般公共预算财政拨款支出决算具体情况</w:t>
      </w:r>
      <w:bookmarkEnd w:id="37"/>
    </w:p>
    <w:p>
      <w:pPr>
        <w:spacing w:line="600" w:lineRule="exact"/>
        <w:ind w:firstLine="643" w:firstLineChars="200"/>
        <w:rPr>
          <w:rFonts w:ascii="仿宋" w:hAnsi="仿宋" w:eastAsia="仿宋"/>
          <w:sz w:val="32"/>
          <w:szCs w:val="32"/>
        </w:rPr>
      </w:pPr>
      <w:bookmarkStart w:id="38" w:name="_Toc15378460"/>
      <w:bookmarkStart w:id="39" w:name="_Toc15377213"/>
      <w:bookmarkStart w:id="40" w:name="_Toc15377444"/>
      <w:r>
        <w:rPr>
          <w:rFonts w:hint="eastAsia" w:ascii="仿宋" w:hAnsi="仿宋" w:eastAsia="仿宋"/>
          <w:b/>
          <w:sz w:val="32"/>
          <w:szCs w:val="32"/>
        </w:rPr>
        <w:t>2021年一般公共预算支出决算数为995.67万元</w:t>
      </w:r>
      <w:r>
        <w:rPr>
          <w:rFonts w:hint="eastAsia" w:ascii="仿宋" w:hAnsi="仿宋" w:eastAsia="仿宋"/>
          <w:sz w:val="32"/>
          <w:szCs w:val="32"/>
        </w:rPr>
        <w:t>，</w:t>
      </w:r>
      <w:r>
        <w:rPr>
          <w:rStyle w:val="14"/>
          <w:rFonts w:hint="eastAsia" w:ascii="仿宋" w:hAnsi="仿宋" w:eastAsia="仿宋"/>
          <w:bCs/>
          <w:sz w:val="32"/>
          <w:szCs w:val="32"/>
        </w:rPr>
        <w:t>完成预算100</w:t>
      </w:r>
      <w:r>
        <w:rPr>
          <w:rStyle w:val="14"/>
          <w:rFonts w:ascii="仿宋" w:hAnsi="仿宋" w:eastAsia="仿宋"/>
          <w:bCs/>
          <w:sz w:val="32"/>
          <w:szCs w:val="32"/>
        </w:rPr>
        <w:t>%</w:t>
      </w:r>
      <w:r>
        <w:rPr>
          <w:rStyle w:val="14"/>
          <w:rFonts w:hint="eastAsia" w:ascii="仿宋" w:hAnsi="仿宋" w:eastAsia="仿宋"/>
          <w:bCs/>
          <w:sz w:val="32"/>
          <w:szCs w:val="32"/>
        </w:rPr>
        <w:t>。其中：</w:t>
      </w:r>
      <w:bookmarkEnd w:id="38"/>
      <w:bookmarkEnd w:id="39"/>
      <w:bookmarkEnd w:id="40"/>
    </w:p>
    <w:p>
      <w:pPr>
        <w:spacing w:line="600" w:lineRule="exact"/>
        <w:ind w:firstLine="643" w:firstLineChars="200"/>
        <w:rPr>
          <w:rFonts w:ascii="仿宋" w:hAnsi="仿宋" w:eastAsia="仿宋"/>
          <w:b/>
          <w:sz w:val="32"/>
          <w:szCs w:val="32"/>
        </w:rPr>
      </w:pPr>
      <w:r>
        <w:rPr>
          <w:rStyle w:val="14"/>
          <w:rFonts w:ascii="仿宋" w:hAnsi="仿宋" w:eastAsia="仿宋"/>
          <w:bCs/>
          <w:sz w:val="32"/>
          <w:szCs w:val="32"/>
        </w:rPr>
        <w:t>1.</w:t>
      </w:r>
      <w:r>
        <w:rPr>
          <w:rStyle w:val="14"/>
          <w:rFonts w:hint="eastAsia" w:ascii="仿宋" w:hAnsi="仿宋" w:eastAsia="仿宋"/>
          <w:bCs/>
          <w:sz w:val="32"/>
          <w:szCs w:val="32"/>
        </w:rPr>
        <w:t>一般公共服务（类）宣传事务（款）其他宣传事务支出（项）</w:t>
      </w:r>
      <w:r>
        <w:rPr>
          <w:rStyle w:val="14"/>
          <w:rFonts w:hint="eastAsia" w:ascii="仿宋" w:hAnsi="仿宋" w:eastAsia="仿宋"/>
          <w:bCs/>
          <w:sz w:val="32"/>
          <w:szCs w:val="32"/>
          <w:lang w:eastAsia="zh-CN"/>
        </w:rPr>
        <w:t>：</w:t>
      </w:r>
      <w:r>
        <w:rPr>
          <w:rStyle w:val="14"/>
          <w:rFonts w:hint="eastAsia" w:ascii="仿宋" w:hAnsi="仿宋" w:eastAsia="仿宋"/>
          <w:b w:val="0"/>
          <w:bCs/>
          <w:sz w:val="32"/>
          <w:szCs w:val="32"/>
        </w:rPr>
        <w:t>支出决算为3.33万元，完成预算100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，决算数等于预算数。</w:t>
      </w:r>
    </w:p>
    <w:p>
      <w:pPr>
        <w:spacing w:line="600" w:lineRule="exact"/>
        <w:ind w:firstLine="643" w:firstLineChars="200"/>
        <w:rPr>
          <w:rFonts w:ascii="仿宋" w:hAnsi="仿宋" w:eastAsia="仿宋"/>
          <w:b/>
          <w:sz w:val="32"/>
          <w:szCs w:val="32"/>
        </w:rPr>
      </w:pPr>
      <w:r>
        <w:rPr>
          <w:rStyle w:val="14"/>
          <w:rFonts w:ascii="仿宋" w:hAnsi="仿宋" w:eastAsia="仿宋"/>
          <w:bCs/>
          <w:sz w:val="32"/>
          <w:szCs w:val="32"/>
        </w:rPr>
        <w:t>2.</w:t>
      </w:r>
      <w:r>
        <w:rPr>
          <w:rStyle w:val="14"/>
          <w:rFonts w:hint="eastAsia" w:ascii="仿宋" w:hAnsi="仿宋" w:eastAsia="仿宋"/>
          <w:bCs/>
          <w:sz w:val="32"/>
          <w:szCs w:val="32"/>
        </w:rPr>
        <w:t>科学技术（类）</w:t>
      </w:r>
      <w:r>
        <w:rPr>
          <w:rStyle w:val="14"/>
          <w:rFonts w:eastAsia="仿宋"/>
          <w:bCs/>
          <w:color w:val="000000"/>
          <w:sz w:val="32"/>
          <w:szCs w:val="32"/>
        </w:rPr>
        <w:t>其他科学技术支出</w:t>
      </w:r>
      <w:r>
        <w:rPr>
          <w:rStyle w:val="14"/>
          <w:rFonts w:hint="eastAsia" w:ascii="仿宋" w:hAnsi="仿宋" w:eastAsia="仿宋"/>
          <w:bCs/>
          <w:sz w:val="32"/>
          <w:szCs w:val="32"/>
        </w:rPr>
        <w:t>（款）</w:t>
      </w:r>
      <w:r>
        <w:rPr>
          <w:rStyle w:val="14"/>
          <w:rFonts w:eastAsia="仿宋"/>
          <w:bCs/>
          <w:color w:val="000000"/>
          <w:sz w:val="32"/>
          <w:szCs w:val="32"/>
        </w:rPr>
        <w:t>其他科学技术支出</w:t>
      </w:r>
      <w:r>
        <w:rPr>
          <w:rStyle w:val="14"/>
          <w:rFonts w:hint="eastAsia" w:ascii="仿宋" w:hAnsi="仿宋" w:eastAsia="仿宋"/>
          <w:bCs/>
          <w:sz w:val="32"/>
          <w:szCs w:val="32"/>
        </w:rPr>
        <w:t>（项）</w:t>
      </w:r>
      <w:r>
        <w:rPr>
          <w:rStyle w:val="14"/>
          <w:rFonts w:hint="eastAsia" w:ascii="仿宋" w:hAnsi="仿宋" w:eastAsia="仿宋"/>
          <w:bCs/>
          <w:sz w:val="32"/>
          <w:szCs w:val="32"/>
          <w:lang w:eastAsia="zh-CN"/>
        </w:rPr>
        <w:t>：</w:t>
      </w:r>
      <w:r>
        <w:rPr>
          <w:rStyle w:val="14"/>
          <w:rFonts w:hint="eastAsia" w:ascii="仿宋" w:hAnsi="仿宋" w:eastAsia="仿宋"/>
          <w:b w:val="0"/>
          <w:bCs/>
          <w:sz w:val="32"/>
          <w:szCs w:val="32"/>
        </w:rPr>
        <w:t>支出决算为17.90万元，完成预算100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，决算数等于预算数。</w:t>
      </w:r>
    </w:p>
    <w:p>
      <w:pPr>
        <w:spacing w:line="600" w:lineRule="exact"/>
        <w:ind w:firstLine="643" w:firstLineChars="200"/>
        <w:rPr>
          <w:rStyle w:val="14"/>
          <w:rFonts w:ascii="仿宋" w:hAnsi="仿宋" w:eastAsia="仿宋"/>
          <w:b w:val="0"/>
          <w:bCs/>
          <w:sz w:val="32"/>
          <w:szCs w:val="32"/>
        </w:rPr>
      </w:pPr>
      <w:r>
        <w:rPr>
          <w:rStyle w:val="14"/>
          <w:rFonts w:hint="eastAsia" w:ascii="仿宋" w:hAnsi="仿宋" w:eastAsia="仿宋"/>
          <w:bCs/>
          <w:sz w:val="32"/>
          <w:szCs w:val="32"/>
        </w:rPr>
        <w:t>3</w:t>
      </w:r>
      <w:r>
        <w:rPr>
          <w:rStyle w:val="14"/>
          <w:rFonts w:ascii="仿宋" w:hAnsi="仿宋" w:eastAsia="仿宋"/>
          <w:bCs/>
          <w:sz w:val="32"/>
          <w:szCs w:val="32"/>
        </w:rPr>
        <w:t>.</w:t>
      </w:r>
      <w:r>
        <w:rPr>
          <w:rStyle w:val="14"/>
          <w:rFonts w:hint="eastAsia" w:ascii="仿宋" w:hAnsi="仿宋" w:eastAsia="仿宋"/>
          <w:bCs/>
          <w:sz w:val="32"/>
          <w:szCs w:val="32"/>
        </w:rPr>
        <w:t>文化旅游体育与传媒（类）文物（款）文物保护（项）</w:t>
      </w:r>
      <w:r>
        <w:rPr>
          <w:rStyle w:val="14"/>
          <w:rFonts w:hint="eastAsia" w:ascii="仿宋" w:hAnsi="仿宋" w:eastAsia="仿宋"/>
          <w:bCs/>
          <w:sz w:val="32"/>
          <w:szCs w:val="32"/>
          <w:lang w:eastAsia="zh-CN"/>
        </w:rPr>
        <w:t>：</w:t>
      </w:r>
      <w:r>
        <w:rPr>
          <w:rStyle w:val="14"/>
          <w:rFonts w:hint="eastAsia" w:ascii="仿宋" w:hAnsi="仿宋" w:eastAsia="仿宋"/>
          <w:b w:val="0"/>
          <w:bCs/>
          <w:sz w:val="32"/>
          <w:szCs w:val="32"/>
        </w:rPr>
        <w:t>支出决算为30.00万元，完成预算100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，决算数等于预算数。</w:t>
      </w:r>
    </w:p>
    <w:p>
      <w:pPr>
        <w:spacing w:line="600" w:lineRule="exact"/>
        <w:ind w:firstLine="643" w:firstLineChars="200"/>
        <w:rPr>
          <w:rFonts w:ascii="仿宋" w:hAnsi="仿宋" w:eastAsia="仿宋"/>
          <w:b/>
          <w:sz w:val="32"/>
          <w:szCs w:val="32"/>
        </w:rPr>
      </w:pPr>
      <w:r>
        <w:rPr>
          <w:rStyle w:val="14"/>
          <w:rFonts w:hint="eastAsia" w:eastAsia="仿宋"/>
          <w:bCs/>
          <w:color w:val="000000"/>
          <w:sz w:val="32"/>
          <w:szCs w:val="32"/>
        </w:rPr>
        <w:t>4</w:t>
      </w:r>
      <w:r>
        <w:rPr>
          <w:b/>
          <w:bCs/>
          <w:sz w:val="32"/>
          <w:szCs w:val="32"/>
        </w:rPr>
        <w:t>．</w:t>
      </w:r>
      <w:r>
        <w:rPr>
          <w:rStyle w:val="14"/>
          <w:rFonts w:eastAsia="仿宋"/>
          <w:bCs/>
          <w:color w:val="000000"/>
          <w:sz w:val="32"/>
          <w:szCs w:val="32"/>
        </w:rPr>
        <w:t>文化旅游体育与传媒（类）文物（款）博物馆（项）</w:t>
      </w:r>
      <w:r>
        <w:rPr>
          <w:rStyle w:val="14"/>
          <w:rFonts w:hint="eastAsia" w:eastAsia="仿宋"/>
          <w:bCs/>
          <w:color w:val="000000"/>
          <w:sz w:val="32"/>
          <w:szCs w:val="32"/>
        </w:rPr>
        <w:t>：</w:t>
      </w:r>
      <w:r>
        <w:rPr>
          <w:rStyle w:val="14"/>
          <w:rFonts w:eastAsia="仿宋"/>
          <w:b w:val="0"/>
          <w:bCs/>
          <w:color w:val="000000"/>
          <w:sz w:val="32"/>
          <w:szCs w:val="32"/>
        </w:rPr>
        <w:t>支出决算为</w:t>
      </w:r>
      <w:r>
        <w:rPr>
          <w:rStyle w:val="14"/>
          <w:rFonts w:hint="eastAsia" w:eastAsia="仿宋"/>
          <w:b w:val="0"/>
          <w:bCs/>
          <w:color w:val="000000"/>
          <w:sz w:val="32"/>
          <w:szCs w:val="32"/>
        </w:rPr>
        <w:t>850.15</w:t>
      </w:r>
      <w:r>
        <w:rPr>
          <w:rStyle w:val="14"/>
          <w:rFonts w:eastAsia="仿宋"/>
          <w:b w:val="0"/>
          <w:bCs/>
          <w:color w:val="000000"/>
          <w:sz w:val="32"/>
          <w:szCs w:val="32"/>
        </w:rPr>
        <w:t>万元，完成预算</w:t>
      </w:r>
      <w:r>
        <w:rPr>
          <w:rStyle w:val="14"/>
          <w:rFonts w:hint="eastAsia" w:eastAsia="仿宋"/>
          <w:b w:val="0"/>
          <w:bCs/>
          <w:color w:val="000000"/>
          <w:sz w:val="32"/>
          <w:szCs w:val="32"/>
        </w:rPr>
        <w:t>100</w:t>
      </w:r>
      <w:r>
        <w:rPr>
          <w:rStyle w:val="14"/>
          <w:rFonts w:eastAsia="仿宋"/>
          <w:b w:val="0"/>
          <w:bCs/>
          <w:color w:val="000000"/>
          <w:sz w:val="32"/>
          <w:szCs w:val="32"/>
        </w:rPr>
        <w:t>%，决算数</w:t>
      </w:r>
      <w:r>
        <w:rPr>
          <w:rStyle w:val="14"/>
          <w:rFonts w:hint="eastAsia" w:eastAsia="仿宋"/>
          <w:b w:val="0"/>
          <w:bCs/>
          <w:color w:val="000000"/>
          <w:sz w:val="32"/>
          <w:szCs w:val="32"/>
        </w:rPr>
        <w:t>等于</w:t>
      </w:r>
      <w:r>
        <w:rPr>
          <w:rStyle w:val="14"/>
          <w:rFonts w:eastAsia="仿宋"/>
          <w:b w:val="0"/>
          <w:bCs/>
          <w:color w:val="000000"/>
          <w:sz w:val="32"/>
          <w:szCs w:val="32"/>
        </w:rPr>
        <w:t>预算数。</w:t>
      </w:r>
    </w:p>
    <w:p>
      <w:pPr>
        <w:spacing w:line="600" w:lineRule="exact"/>
        <w:ind w:firstLine="643" w:firstLineChars="200"/>
        <w:rPr>
          <w:rStyle w:val="14"/>
          <w:rFonts w:ascii="仿宋" w:hAnsi="仿宋" w:eastAsia="仿宋"/>
          <w:b w:val="0"/>
          <w:bCs/>
          <w:sz w:val="32"/>
          <w:szCs w:val="32"/>
        </w:rPr>
      </w:pPr>
      <w:r>
        <w:rPr>
          <w:rStyle w:val="14"/>
          <w:rFonts w:ascii="仿宋" w:hAnsi="仿宋" w:eastAsia="仿宋"/>
          <w:bCs/>
          <w:sz w:val="32"/>
          <w:szCs w:val="32"/>
        </w:rPr>
        <w:t>5.</w:t>
      </w:r>
      <w:r>
        <w:rPr>
          <w:rStyle w:val="14"/>
          <w:rFonts w:eastAsia="仿宋"/>
          <w:bCs/>
          <w:color w:val="000000"/>
          <w:sz w:val="32"/>
          <w:szCs w:val="32"/>
        </w:rPr>
        <w:t>文化旅游体育与传媒（类）其他文化旅游体育与传媒支出（款）宣传文化发展专项支出</w:t>
      </w:r>
      <w:r>
        <w:rPr>
          <w:rStyle w:val="14"/>
          <w:rFonts w:hint="eastAsia" w:ascii="仿宋" w:hAnsi="仿宋" w:eastAsia="仿宋"/>
          <w:bCs/>
          <w:sz w:val="32"/>
          <w:szCs w:val="32"/>
        </w:rPr>
        <w:t>（项）</w:t>
      </w:r>
      <w:r>
        <w:rPr>
          <w:rStyle w:val="14"/>
          <w:rFonts w:hint="eastAsia" w:ascii="仿宋" w:hAnsi="仿宋" w:eastAsia="仿宋"/>
          <w:bCs/>
          <w:sz w:val="32"/>
          <w:szCs w:val="32"/>
          <w:lang w:eastAsia="zh-CN"/>
        </w:rPr>
        <w:t>：</w:t>
      </w:r>
      <w:r>
        <w:rPr>
          <w:rStyle w:val="14"/>
          <w:rFonts w:hint="eastAsia" w:ascii="仿宋" w:hAnsi="仿宋" w:eastAsia="仿宋"/>
          <w:b w:val="0"/>
          <w:bCs/>
          <w:sz w:val="32"/>
          <w:szCs w:val="32"/>
        </w:rPr>
        <w:t>支出决算为3.85万元，完成预算100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，决算数等于预算数。</w:t>
      </w:r>
    </w:p>
    <w:p>
      <w:pPr>
        <w:spacing w:line="600" w:lineRule="exact"/>
        <w:ind w:firstLine="640" w:firstLineChars="200"/>
        <w:rPr>
          <w:rStyle w:val="14"/>
          <w:rFonts w:ascii="仿宋" w:hAnsi="仿宋" w:eastAsia="仿宋"/>
          <w:b w:val="0"/>
          <w:bCs/>
          <w:sz w:val="32"/>
          <w:szCs w:val="32"/>
        </w:rPr>
      </w:pPr>
      <w:r>
        <w:rPr>
          <w:rStyle w:val="14"/>
          <w:rFonts w:hint="eastAsia" w:eastAsia="仿宋"/>
          <w:b w:val="0"/>
          <w:bCs/>
          <w:color w:val="000000"/>
          <w:sz w:val="32"/>
          <w:szCs w:val="32"/>
        </w:rPr>
        <w:t>6.</w:t>
      </w:r>
      <w:r>
        <w:rPr>
          <w:rStyle w:val="14"/>
          <w:rFonts w:eastAsia="仿宋"/>
          <w:bCs/>
          <w:color w:val="000000"/>
          <w:sz w:val="32"/>
          <w:szCs w:val="32"/>
        </w:rPr>
        <w:t xml:space="preserve"> 文化旅游体育与传媒（类）</w:t>
      </w:r>
      <w:r>
        <w:rPr>
          <w:rStyle w:val="14"/>
          <w:rFonts w:hint="eastAsia" w:eastAsia="仿宋"/>
          <w:bCs/>
          <w:color w:val="000000"/>
          <w:sz w:val="32"/>
          <w:szCs w:val="32"/>
        </w:rPr>
        <w:t>其他</w:t>
      </w:r>
      <w:r>
        <w:rPr>
          <w:rStyle w:val="14"/>
          <w:rFonts w:eastAsia="仿宋"/>
          <w:bCs/>
          <w:color w:val="000000"/>
          <w:sz w:val="32"/>
          <w:szCs w:val="32"/>
        </w:rPr>
        <w:t>文化和旅游（款）其他文化</w:t>
      </w:r>
      <w:r>
        <w:rPr>
          <w:rStyle w:val="14"/>
          <w:rFonts w:hint="eastAsia" w:eastAsia="仿宋"/>
          <w:bCs/>
          <w:color w:val="000000"/>
          <w:sz w:val="32"/>
          <w:szCs w:val="32"/>
        </w:rPr>
        <w:t>旅游体育与传媒</w:t>
      </w:r>
      <w:r>
        <w:rPr>
          <w:rStyle w:val="14"/>
          <w:rFonts w:eastAsia="仿宋"/>
          <w:bCs/>
          <w:color w:val="000000"/>
          <w:sz w:val="32"/>
          <w:szCs w:val="32"/>
        </w:rPr>
        <w:t>支出（项）</w:t>
      </w:r>
      <w:r>
        <w:rPr>
          <w:rStyle w:val="14"/>
          <w:rFonts w:hint="eastAsia" w:eastAsia="仿宋"/>
          <w:bCs/>
          <w:color w:val="000000"/>
          <w:sz w:val="32"/>
          <w:szCs w:val="32"/>
        </w:rPr>
        <w:t>：</w:t>
      </w:r>
      <w:r>
        <w:rPr>
          <w:rStyle w:val="14"/>
          <w:rFonts w:eastAsia="仿宋"/>
          <w:b w:val="0"/>
          <w:bCs/>
          <w:color w:val="000000"/>
          <w:sz w:val="32"/>
          <w:szCs w:val="32"/>
        </w:rPr>
        <w:t>支出决算为</w:t>
      </w:r>
      <w:r>
        <w:rPr>
          <w:rStyle w:val="14"/>
          <w:rFonts w:hint="eastAsia" w:eastAsia="仿宋"/>
          <w:b w:val="0"/>
          <w:bCs/>
          <w:color w:val="000000"/>
          <w:sz w:val="32"/>
          <w:szCs w:val="32"/>
        </w:rPr>
        <w:t>15.00</w:t>
      </w:r>
      <w:r>
        <w:rPr>
          <w:rStyle w:val="14"/>
          <w:rFonts w:eastAsia="仿宋"/>
          <w:b w:val="0"/>
          <w:bCs/>
          <w:color w:val="000000"/>
          <w:sz w:val="32"/>
          <w:szCs w:val="32"/>
        </w:rPr>
        <w:t>万元，完成预算</w:t>
      </w:r>
      <w:r>
        <w:rPr>
          <w:rStyle w:val="14"/>
          <w:rFonts w:hint="eastAsia" w:eastAsia="仿宋"/>
          <w:b w:val="0"/>
          <w:bCs/>
          <w:color w:val="000000"/>
          <w:sz w:val="32"/>
          <w:szCs w:val="32"/>
        </w:rPr>
        <w:t>100</w:t>
      </w:r>
      <w:r>
        <w:rPr>
          <w:rStyle w:val="14"/>
          <w:rFonts w:eastAsia="仿宋"/>
          <w:b w:val="0"/>
          <w:bCs/>
          <w:color w:val="000000"/>
          <w:sz w:val="32"/>
          <w:szCs w:val="32"/>
        </w:rPr>
        <w:t>%，</w:t>
      </w:r>
      <w:r>
        <w:rPr>
          <w:rStyle w:val="14"/>
          <w:rFonts w:hint="eastAsia" w:ascii="仿宋" w:hAnsi="仿宋" w:eastAsia="仿宋"/>
          <w:b w:val="0"/>
          <w:bCs/>
          <w:sz w:val="32"/>
          <w:szCs w:val="32"/>
        </w:rPr>
        <w:t>决算数等于预算数。</w:t>
      </w:r>
    </w:p>
    <w:p>
      <w:pPr>
        <w:spacing w:line="600" w:lineRule="exact"/>
        <w:ind w:firstLine="643" w:firstLineChars="200"/>
        <w:rPr>
          <w:rStyle w:val="14"/>
          <w:rFonts w:eastAsia="仿宋"/>
          <w:b w:val="0"/>
          <w:bCs/>
          <w:color w:val="000000"/>
          <w:sz w:val="32"/>
          <w:szCs w:val="32"/>
        </w:rPr>
      </w:pPr>
      <w:r>
        <w:rPr>
          <w:rStyle w:val="14"/>
          <w:rFonts w:hint="eastAsia" w:eastAsia="仿宋"/>
          <w:bCs/>
          <w:color w:val="000000"/>
          <w:sz w:val="32"/>
          <w:szCs w:val="32"/>
        </w:rPr>
        <w:t>7</w:t>
      </w:r>
      <w:r>
        <w:rPr>
          <w:b/>
          <w:bCs/>
          <w:sz w:val="32"/>
          <w:szCs w:val="32"/>
        </w:rPr>
        <w:t>．</w:t>
      </w:r>
      <w:r>
        <w:rPr>
          <w:rStyle w:val="14"/>
          <w:rFonts w:eastAsia="仿宋"/>
          <w:bCs/>
          <w:color w:val="000000"/>
          <w:sz w:val="32"/>
          <w:szCs w:val="32"/>
        </w:rPr>
        <w:t>社会保障和就业（类）</w:t>
      </w:r>
      <w:r>
        <w:rPr>
          <w:rStyle w:val="14"/>
          <w:rFonts w:hint="eastAsia" w:eastAsia="仿宋"/>
          <w:bCs/>
          <w:color w:val="000000"/>
          <w:sz w:val="32"/>
          <w:szCs w:val="32"/>
        </w:rPr>
        <w:t>人力资源和社会保障管理事务</w:t>
      </w:r>
      <w:r>
        <w:rPr>
          <w:rStyle w:val="14"/>
          <w:rFonts w:eastAsia="仿宋"/>
          <w:bCs/>
          <w:color w:val="000000"/>
          <w:sz w:val="32"/>
          <w:szCs w:val="32"/>
        </w:rPr>
        <w:t>（款）</w:t>
      </w:r>
      <w:r>
        <w:rPr>
          <w:rStyle w:val="14"/>
          <w:rFonts w:hint="eastAsia" w:eastAsia="仿宋"/>
          <w:bCs/>
          <w:color w:val="000000"/>
          <w:sz w:val="32"/>
          <w:szCs w:val="32"/>
        </w:rPr>
        <w:t>其他人力资源和社会保障管理事务支出</w:t>
      </w:r>
      <w:r>
        <w:rPr>
          <w:rStyle w:val="14"/>
          <w:rFonts w:eastAsia="仿宋"/>
          <w:bCs/>
          <w:color w:val="000000"/>
          <w:sz w:val="32"/>
          <w:szCs w:val="32"/>
        </w:rPr>
        <w:t>（项）</w:t>
      </w:r>
      <w:r>
        <w:rPr>
          <w:rStyle w:val="14"/>
          <w:rFonts w:hint="eastAsia" w:eastAsia="仿宋"/>
          <w:bCs/>
          <w:color w:val="000000"/>
          <w:sz w:val="32"/>
          <w:szCs w:val="32"/>
        </w:rPr>
        <w:t>：</w:t>
      </w:r>
      <w:r>
        <w:rPr>
          <w:rStyle w:val="14"/>
          <w:rFonts w:eastAsia="仿宋"/>
          <w:b w:val="0"/>
          <w:bCs/>
          <w:color w:val="000000"/>
          <w:sz w:val="32"/>
          <w:szCs w:val="32"/>
        </w:rPr>
        <w:t>支出决算为</w:t>
      </w:r>
      <w:r>
        <w:rPr>
          <w:rStyle w:val="14"/>
          <w:rFonts w:hint="eastAsia" w:eastAsia="仿宋"/>
          <w:b w:val="0"/>
          <w:bCs/>
          <w:color w:val="000000"/>
          <w:sz w:val="32"/>
          <w:szCs w:val="32"/>
        </w:rPr>
        <w:t>2.40</w:t>
      </w:r>
      <w:r>
        <w:rPr>
          <w:rStyle w:val="14"/>
          <w:rFonts w:eastAsia="仿宋"/>
          <w:b w:val="0"/>
          <w:bCs/>
          <w:color w:val="000000"/>
          <w:sz w:val="32"/>
          <w:szCs w:val="32"/>
        </w:rPr>
        <w:t>万元，完成预算100%</w:t>
      </w:r>
      <w:r>
        <w:rPr>
          <w:rStyle w:val="14"/>
          <w:rFonts w:hint="eastAsia" w:eastAsia="仿宋"/>
          <w:b w:val="0"/>
          <w:bCs/>
          <w:color w:val="000000"/>
          <w:sz w:val="32"/>
          <w:szCs w:val="32"/>
        </w:rPr>
        <w:t>，决算数等于预算数。</w:t>
      </w:r>
    </w:p>
    <w:p>
      <w:pPr>
        <w:spacing w:line="600" w:lineRule="exact"/>
        <w:ind w:firstLine="643" w:firstLineChars="200"/>
        <w:rPr>
          <w:rStyle w:val="14"/>
          <w:rFonts w:eastAsia="仿宋"/>
          <w:bCs/>
          <w:color w:val="000000"/>
          <w:sz w:val="32"/>
          <w:szCs w:val="32"/>
        </w:rPr>
      </w:pPr>
      <w:r>
        <w:rPr>
          <w:rStyle w:val="14"/>
          <w:rFonts w:hint="eastAsia" w:eastAsia="仿宋"/>
          <w:bCs/>
          <w:color w:val="000000"/>
          <w:sz w:val="32"/>
          <w:szCs w:val="32"/>
        </w:rPr>
        <w:t>8</w:t>
      </w:r>
      <w:r>
        <w:rPr>
          <w:b/>
          <w:bCs/>
          <w:sz w:val="32"/>
          <w:szCs w:val="32"/>
        </w:rPr>
        <w:t>．</w:t>
      </w:r>
      <w:r>
        <w:rPr>
          <w:rStyle w:val="14"/>
          <w:rFonts w:eastAsia="仿宋"/>
          <w:bCs/>
          <w:color w:val="000000"/>
          <w:sz w:val="32"/>
          <w:szCs w:val="32"/>
        </w:rPr>
        <w:t>社会保障和就业（类）行政事业单位养老支出（款）</w:t>
      </w:r>
      <w:r>
        <w:rPr>
          <w:rStyle w:val="14"/>
          <w:rFonts w:hint="eastAsia" w:eastAsia="仿宋"/>
          <w:bCs/>
          <w:color w:val="000000"/>
          <w:sz w:val="32"/>
          <w:szCs w:val="32"/>
        </w:rPr>
        <w:t>事业单位离退休</w:t>
      </w:r>
      <w:r>
        <w:rPr>
          <w:rStyle w:val="14"/>
          <w:rFonts w:eastAsia="仿宋"/>
          <w:bCs/>
          <w:color w:val="000000"/>
          <w:sz w:val="32"/>
          <w:szCs w:val="32"/>
        </w:rPr>
        <w:t>（项）</w:t>
      </w:r>
      <w:r>
        <w:rPr>
          <w:rStyle w:val="14"/>
          <w:rFonts w:hint="eastAsia" w:eastAsia="仿宋"/>
          <w:bCs/>
          <w:color w:val="000000"/>
          <w:sz w:val="32"/>
          <w:szCs w:val="32"/>
        </w:rPr>
        <w:t>：</w:t>
      </w:r>
      <w:r>
        <w:rPr>
          <w:rStyle w:val="14"/>
          <w:rFonts w:eastAsia="仿宋"/>
          <w:b w:val="0"/>
          <w:bCs/>
          <w:color w:val="000000"/>
          <w:sz w:val="32"/>
          <w:szCs w:val="32"/>
        </w:rPr>
        <w:t>支出决算为</w:t>
      </w:r>
      <w:r>
        <w:rPr>
          <w:rStyle w:val="14"/>
          <w:rFonts w:hint="eastAsia" w:eastAsia="仿宋"/>
          <w:b w:val="0"/>
          <w:bCs/>
          <w:color w:val="000000"/>
          <w:sz w:val="32"/>
          <w:szCs w:val="32"/>
        </w:rPr>
        <w:t>17.90</w:t>
      </w:r>
      <w:r>
        <w:rPr>
          <w:rStyle w:val="14"/>
          <w:rFonts w:eastAsia="仿宋"/>
          <w:b w:val="0"/>
          <w:bCs/>
          <w:color w:val="000000"/>
          <w:sz w:val="32"/>
          <w:szCs w:val="32"/>
        </w:rPr>
        <w:t>万元，完成预算100%</w:t>
      </w:r>
      <w:r>
        <w:rPr>
          <w:rStyle w:val="14"/>
          <w:rFonts w:hint="eastAsia" w:eastAsia="仿宋"/>
          <w:b w:val="0"/>
          <w:bCs/>
          <w:color w:val="000000"/>
          <w:sz w:val="32"/>
          <w:szCs w:val="32"/>
        </w:rPr>
        <w:t>，决算数等于预算数</w:t>
      </w:r>
      <w:r>
        <w:rPr>
          <w:rStyle w:val="14"/>
          <w:rFonts w:eastAsia="仿宋"/>
          <w:b w:val="0"/>
          <w:bCs/>
          <w:color w:val="000000"/>
          <w:sz w:val="32"/>
          <w:szCs w:val="32"/>
        </w:rPr>
        <w:t>。</w:t>
      </w:r>
    </w:p>
    <w:p>
      <w:pPr>
        <w:spacing w:line="600" w:lineRule="exact"/>
        <w:ind w:firstLine="643" w:firstLineChars="200"/>
        <w:rPr>
          <w:rStyle w:val="14"/>
          <w:rFonts w:eastAsia="仿宋"/>
          <w:bCs/>
          <w:color w:val="000000"/>
          <w:sz w:val="32"/>
          <w:szCs w:val="32"/>
        </w:rPr>
      </w:pPr>
      <w:r>
        <w:rPr>
          <w:rStyle w:val="14"/>
          <w:rFonts w:hint="eastAsia" w:eastAsia="仿宋"/>
          <w:bCs/>
          <w:color w:val="000000"/>
          <w:sz w:val="32"/>
          <w:szCs w:val="32"/>
        </w:rPr>
        <w:t>9</w:t>
      </w:r>
      <w:r>
        <w:rPr>
          <w:b/>
          <w:bCs/>
          <w:sz w:val="32"/>
          <w:szCs w:val="32"/>
        </w:rPr>
        <w:t>．</w:t>
      </w:r>
      <w:r>
        <w:rPr>
          <w:rStyle w:val="14"/>
          <w:rFonts w:eastAsia="仿宋"/>
          <w:bCs/>
          <w:color w:val="000000"/>
          <w:sz w:val="32"/>
          <w:szCs w:val="32"/>
        </w:rPr>
        <w:t>社会保障和就业（类）行政事业单位养老支出（款）机关事业单位基本养老保险缴费支出（项）</w:t>
      </w:r>
      <w:r>
        <w:rPr>
          <w:rStyle w:val="14"/>
          <w:rFonts w:hint="eastAsia" w:eastAsia="仿宋"/>
          <w:bCs/>
          <w:color w:val="000000"/>
          <w:sz w:val="32"/>
          <w:szCs w:val="32"/>
        </w:rPr>
        <w:t>：</w:t>
      </w:r>
      <w:r>
        <w:rPr>
          <w:rStyle w:val="14"/>
          <w:rFonts w:eastAsia="仿宋"/>
          <w:b w:val="0"/>
          <w:bCs/>
          <w:color w:val="000000"/>
          <w:sz w:val="32"/>
          <w:szCs w:val="32"/>
        </w:rPr>
        <w:t>支出决算为</w:t>
      </w:r>
      <w:r>
        <w:rPr>
          <w:rStyle w:val="14"/>
          <w:rFonts w:hint="eastAsia" w:eastAsia="仿宋"/>
          <w:b w:val="0"/>
          <w:bCs/>
          <w:color w:val="000000"/>
          <w:sz w:val="32"/>
          <w:szCs w:val="32"/>
        </w:rPr>
        <w:t>31.02</w:t>
      </w:r>
      <w:r>
        <w:rPr>
          <w:rStyle w:val="14"/>
          <w:rFonts w:eastAsia="仿宋"/>
          <w:b w:val="0"/>
          <w:bCs/>
          <w:color w:val="000000"/>
          <w:sz w:val="32"/>
          <w:szCs w:val="32"/>
        </w:rPr>
        <w:t>万元，完成预算100%</w:t>
      </w:r>
      <w:r>
        <w:rPr>
          <w:rStyle w:val="14"/>
          <w:rFonts w:hint="eastAsia" w:eastAsia="仿宋"/>
          <w:b w:val="0"/>
          <w:bCs/>
          <w:color w:val="000000"/>
          <w:sz w:val="32"/>
          <w:szCs w:val="32"/>
        </w:rPr>
        <w:t>，决算数等于预算数</w:t>
      </w:r>
      <w:r>
        <w:rPr>
          <w:rStyle w:val="14"/>
          <w:rFonts w:eastAsia="仿宋"/>
          <w:b w:val="0"/>
          <w:bCs/>
          <w:color w:val="000000"/>
          <w:sz w:val="32"/>
          <w:szCs w:val="32"/>
        </w:rPr>
        <w:t>。</w:t>
      </w:r>
    </w:p>
    <w:p>
      <w:pPr>
        <w:spacing w:line="600" w:lineRule="exact"/>
        <w:ind w:firstLine="643" w:firstLineChars="200"/>
        <w:rPr>
          <w:rFonts w:ascii="仿宋" w:hAnsi="仿宋" w:eastAsia="仿宋"/>
          <w:sz w:val="32"/>
          <w:szCs w:val="32"/>
        </w:rPr>
      </w:pPr>
      <w:r>
        <w:rPr>
          <w:rStyle w:val="14"/>
          <w:rFonts w:hint="eastAsia" w:eastAsia="仿宋"/>
          <w:bCs/>
          <w:color w:val="000000"/>
          <w:sz w:val="32"/>
          <w:szCs w:val="32"/>
        </w:rPr>
        <w:t>10</w:t>
      </w:r>
      <w:r>
        <w:rPr>
          <w:b/>
          <w:bCs/>
          <w:sz w:val="32"/>
          <w:szCs w:val="32"/>
        </w:rPr>
        <w:t>．</w:t>
      </w:r>
      <w:r>
        <w:rPr>
          <w:rStyle w:val="14"/>
          <w:rFonts w:eastAsia="仿宋"/>
          <w:bCs/>
          <w:color w:val="000000"/>
          <w:sz w:val="32"/>
          <w:szCs w:val="32"/>
        </w:rPr>
        <w:t>住房保障支出（类）住房改革支出（款）住房公积金（项）</w:t>
      </w:r>
      <w:r>
        <w:rPr>
          <w:rStyle w:val="14"/>
          <w:rFonts w:hint="eastAsia" w:eastAsia="仿宋"/>
          <w:bCs/>
          <w:color w:val="000000"/>
          <w:sz w:val="32"/>
          <w:szCs w:val="32"/>
        </w:rPr>
        <w:t>：</w:t>
      </w:r>
      <w:r>
        <w:rPr>
          <w:rStyle w:val="14"/>
          <w:rFonts w:eastAsia="仿宋"/>
          <w:b w:val="0"/>
          <w:bCs/>
          <w:color w:val="000000"/>
          <w:sz w:val="32"/>
          <w:szCs w:val="32"/>
        </w:rPr>
        <w:t>支出决算为</w:t>
      </w:r>
      <w:r>
        <w:rPr>
          <w:rStyle w:val="14"/>
          <w:rFonts w:hint="eastAsia" w:eastAsia="仿宋"/>
          <w:b w:val="0"/>
          <w:bCs/>
          <w:color w:val="000000"/>
          <w:sz w:val="32"/>
          <w:szCs w:val="32"/>
        </w:rPr>
        <w:t>24.12</w:t>
      </w:r>
      <w:r>
        <w:rPr>
          <w:rStyle w:val="14"/>
          <w:rFonts w:eastAsia="仿宋"/>
          <w:b w:val="0"/>
          <w:bCs/>
          <w:color w:val="000000"/>
          <w:sz w:val="32"/>
          <w:szCs w:val="32"/>
        </w:rPr>
        <w:t>万元，完成预算100%</w:t>
      </w:r>
      <w:r>
        <w:rPr>
          <w:rStyle w:val="14"/>
          <w:rFonts w:hint="eastAsia" w:eastAsia="仿宋"/>
          <w:b w:val="0"/>
          <w:bCs/>
          <w:color w:val="000000"/>
          <w:sz w:val="32"/>
          <w:szCs w:val="32"/>
        </w:rPr>
        <w:t>，决算数等于预算数</w:t>
      </w:r>
      <w:r>
        <w:rPr>
          <w:rStyle w:val="14"/>
          <w:rFonts w:eastAsia="仿宋"/>
          <w:b w:val="0"/>
          <w:bCs/>
          <w:color w:val="000000"/>
          <w:sz w:val="32"/>
          <w:szCs w:val="32"/>
        </w:rPr>
        <w:t>。</w:t>
      </w:r>
    </w:p>
    <w:p>
      <w:pPr>
        <w:spacing w:line="600" w:lineRule="exact"/>
        <w:ind w:firstLine="640"/>
        <w:rPr>
          <w:rFonts w:ascii="仿宋" w:hAnsi="仿宋" w:eastAsia="仿宋"/>
          <w:b/>
          <w:sz w:val="32"/>
          <w:szCs w:val="32"/>
        </w:rPr>
      </w:pPr>
    </w:p>
    <w:p>
      <w:pPr>
        <w:tabs>
          <w:tab w:val="right" w:pos="8306"/>
        </w:tabs>
        <w:spacing w:line="600" w:lineRule="exact"/>
        <w:ind w:firstLine="640"/>
        <w:outlineLvl w:val="1"/>
        <w:rPr>
          <w:rStyle w:val="25"/>
        </w:rPr>
      </w:pPr>
      <w:bookmarkStart w:id="41" w:name="_Toc113008485"/>
      <w:bookmarkStart w:id="42" w:name="_Toc15377214"/>
      <w:bookmarkStart w:id="43"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5"/>
          <w:rFonts w:hint="eastAsia" w:ascii="黑体" w:hAnsi="黑体" w:eastAsia="黑体"/>
          <w:b w:val="0"/>
        </w:rPr>
        <w:t>般公共预算财政拨款基本支出决算情况说明</w:t>
      </w:r>
      <w:bookmarkEnd w:id="41"/>
      <w:bookmarkEnd w:id="42"/>
      <w:bookmarkEnd w:id="43"/>
      <w:r>
        <w:rPr>
          <w:rStyle w:val="25"/>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21年一般公共预算财政拨款基本支出400.95万元，其中：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356.83万元，主要包括：基本工资77.55万元、津贴补贴44.96万元、绩效工资126.44万元、机关事业单位基本养老保险缴费31.02万元、职工基本医疗保险缴费15.06万元、公务员医疗补助缴费1.52万元、其他社会保障缴费2.74万元、其他工资福利支出16.63万元、生活补助16.40万元、医疗费补助0.40万元、住房公积金24.12万元等。</w:t>
      </w:r>
    </w:p>
    <w:p>
      <w:pPr>
        <w:spacing w:line="600" w:lineRule="exact"/>
        <w:ind w:firstLine="645"/>
        <w:rPr>
          <w:rFonts w:ascii="仿宋" w:hAnsi="仿宋" w:eastAsia="仿宋"/>
          <w:sz w:val="32"/>
          <w:szCs w:val="32"/>
        </w:rPr>
      </w:pPr>
      <w:r>
        <w:rPr>
          <w:rFonts w:hint="eastAsia" w:ascii="仿宋" w:hAnsi="仿宋" w:eastAsia="仿宋"/>
          <w:sz w:val="32"/>
          <w:szCs w:val="32"/>
        </w:rPr>
        <w:t>公用经费44.12万元，主要包括：办公费0.13万元、手续费0.05万元、公务接待费0.08万元、劳务费9.65万元、委托业务费4.67万元、工会经费3.91万元、福利费11.50万元、其他交通费4.32万元、其他商品和服务支出9.81万元等。</w:t>
      </w:r>
    </w:p>
    <w:p>
      <w:pPr>
        <w:spacing w:line="600" w:lineRule="exact"/>
        <w:ind w:firstLine="640"/>
        <w:rPr>
          <w:rFonts w:ascii="仿宋" w:hAnsi="仿宋" w:eastAsia="仿宋"/>
          <w:b/>
          <w:sz w:val="32"/>
          <w:szCs w:val="32"/>
        </w:rPr>
      </w:pPr>
    </w:p>
    <w:p>
      <w:pPr>
        <w:spacing w:line="600" w:lineRule="exact"/>
        <w:ind w:firstLine="640"/>
        <w:outlineLvl w:val="1"/>
        <w:rPr>
          <w:rStyle w:val="25"/>
          <w:rFonts w:ascii="黑体" w:hAnsi="黑体" w:eastAsia="黑体"/>
          <w:b w:val="0"/>
        </w:rPr>
      </w:pPr>
      <w:bookmarkStart w:id="44" w:name="_Toc15396609"/>
      <w:bookmarkStart w:id="45" w:name="_Toc15377215"/>
      <w:bookmarkStart w:id="46" w:name="_Toc113008486"/>
      <w:r>
        <w:rPr>
          <w:rFonts w:hint="eastAsia" w:ascii="黑体" w:eastAsia="黑体"/>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4"/>
      <w:bookmarkEnd w:id="45"/>
      <w:bookmarkEnd w:id="46"/>
    </w:p>
    <w:p>
      <w:pPr>
        <w:spacing w:line="600" w:lineRule="exact"/>
        <w:ind w:firstLine="640"/>
        <w:rPr>
          <w:rFonts w:ascii="仿宋" w:hAnsi="仿宋" w:eastAsia="仿宋"/>
          <w:b/>
          <w:sz w:val="32"/>
          <w:szCs w:val="32"/>
        </w:rPr>
      </w:pPr>
      <w:bookmarkStart w:id="47" w:name="_Toc15377216"/>
      <w:r>
        <w:rPr>
          <w:rFonts w:hint="eastAsia" w:ascii="仿宋" w:hAnsi="仿宋" w:eastAsia="仿宋"/>
          <w:b/>
          <w:sz w:val="32"/>
          <w:szCs w:val="32"/>
        </w:rPr>
        <w:t>（一）“三公”经费财政拨款支出决算总体情况说明</w:t>
      </w:r>
      <w:bookmarkEnd w:id="47"/>
    </w:p>
    <w:p>
      <w:pPr>
        <w:spacing w:line="600" w:lineRule="exact"/>
        <w:ind w:firstLine="640"/>
        <w:rPr>
          <w:rFonts w:ascii="仿宋" w:hAnsi="仿宋" w:eastAsia="仿宋"/>
          <w:color w:val="FF0000"/>
          <w:sz w:val="32"/>
          <w:szCs w:val="32"/>
        </w:rPr>
      </w:pPr>
      <w:r>
        <w:rPr>
          <w:rFonts w:ascii="仿宋" w:hAnsi="仿宋" w:eastAsia="仿宋"/>
          <w:sz w:val="32"/>
          <w:szCs w:val="32"/>
        </w:rPr>
        <w:t>20</w:t>
      </w:r>
      <w:r>
        <w:rPr>
          <w:rFonts w:hint="eastAsia" w:ascii="仿宋" w:hAnsi="仿宋" w:eastAsia="仿宋"/>
          <w:sz w:val="32"/>
          <w:szCs w:val="32"/>
        </w:rPr>
        <w:t>21年“三公”经费财政拨款支出决算为5.61万元，完成预算100</w:t>
      </w:r>
      <w:r>
        <w:rPr>
          <w:rFonts w:ascii="仿宋" w:hAnsi="仿宋" w:eastAsia="仿宋"/>
          <w:sz w:val="32"/>
          <w:szCs w:val="32"/>
        </w:rPr>
        <w:t>%</w:t>
      </w:r>
      <w:r>
        <w:rPr>
          <w:rFonts w:hint="eastAsia" w:ascii="仿宋" w:hAnsi="仿宋" w:eastAsia="仿宋"/>
          <w:sz w:val="32"/>
          <w:szCs w:val="32"/>
        </w:rPr>
        <w:t>，决算数与预算数持平。</w:t>
      </w:r>
    </w:p>
    <w:p>
      <w:pPr>
        <w:spacing w:line="600" w:lineRule="exact"/>
        <w:ind w:firstLine="640"/>
        <w:rPr>
          <w:rFonts w:ascii="仿宋" w:hAnsi="仿宋" w:eastAsia="仿宋"/>
          <w:b/>
          <w:sz w:val="32"/>
          <w:szCs w:val="32"/>
        </w:rPr>
      </w:pPr>
      <w:bookmarkStart w:id="48" w:name="_Toc15377217"/>
      <w:r>
        <w:rPr>
          <w:rFonts w:hint="eastAsia" w:ascii="仿宋" w:hAnsi="仿宋" w:eastAsia="仿宋"/>
          <w:b/>
          <w:sz w:val="32"/>
          <w:szCs w:val="32"/>
        </w:rPr>
        <w:t>（二）“三公”经费财政拨款支出决算具体情况说明</w:t>
      </w:r>
      <w:bookmarkEnd w:id="48"/>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；公务用车购置及运行维护费支出决算5.29万元，占94.13</w:t>
      </w:r>
      <w:r>
        <w:rPr>
          <w:rFonts w:ascii="仿宋" w:hAnsi="仿宋" w:eastAsia="仿宋"/>
          <w:sz w:val="32"/>
          <w:szCs w:val="32"/>
        </w:rPr>
        <w:t>%</w:t>
      </w:r>
      <w:r>
        <w:rPr>
          <w:rFonts w:hint="eastAsia" w:ascii="仿宋" w:hAnsi="仿宋" w:eastAsia="仿宋"/>
          <w:sz w:val="32"/>
          <w:szCs w:val="32"/>
        </w:rPr>
        <w:t>；公务接待费支出决算0.33万元，占5.87</w:t>
      </w:r>
      <w:r>
        <w:rPr>
          <w:rFonts w:ascii="仿宋" w:hAnsi="仿宋" w:eastAsia="仿宋"/>
          <w:sz w:val="32"/>
          <w:szCs w:val="32"/>
        </w:rPr>
        <w:t>%</w:t>
      </w:r>
      <w:r>
        <w:rPr>
          <w:rFonts w:hint="eastAsia" w:ascii="仿宋" w:hAnsi="仿宋" w:eastAsia="仿宋"/>
          <w:sz w:val="32"/>
          <w:szCs w:val="32"/>
        </w:rPr>
        <w:t>。具体情况如下：</w:t>
      </w:r>
    </w:p>
    <w:p>
      <w:pPr>
        <w:pStyle w:val="2"/>
        <w:spacing w:before="93"/>
        <w:jc w:val="center"/>
      </w:pPr>
      <w:r>
        <w:drawing>
          <wp:inline distT="0" distB="0" distL="0" distR="0">
            <wp:extent cx="4572000" cy="2743200"/>
            <wp:effectExtent l="0" t="0" r="19050" b="19050"/>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spacing w:line="600" w:lineRule="exact"/>
        <w:ind w:firstLine="640"/>
        <w:rPr>
          <w:rFonts w:ascii="仿宋" w:hAnsi="仿宋" w:eastAsia="仿宋"/>
          <w:sz w:val="32"/>
          <w:szCs w:val="32"/>
        </w:rPr>
      </w:pPr>
      <w:r>
        <w:rPr>
          <w:rFonts w:hint="eastAsia" w:ascii="仿宋" w:hAnsi="仿宋" w:eastAsia="仿宋"/>
          <w:sz w:val="32"/>
          <w:szCs w:val="32"/>
        </w:rPr>
        <w:t>（图7：“三公”经费财政拨款支出结构）（饼状图）</w:t>
      </w:r>
    </w:p>
    <w:p>
      <w:pPr>
        <w:spacing w:line="600" w:lineRule="exact"/>
        <w:ind w:firstLine="640"/>
        <w:rPr>
          <w:rFonts w:hint="eastAsia"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w:t>
      </w:r>
      <w:r>
        <w:rPr>
          <w:rStyle w:val="14"/>
          <w:rFonts w:hint="eastAsia" w:ascii="仿宋" w:hAnsi="仿宋" w:eastAsia="仿宋"/>
          <w:b w:val="0"/>
          <w:bCs/>
          <w:sz w:val="32"/>
          <w:szCs w:val="32"/>
        </w:rPr>
        <w:t>完成预算0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全年安排因公出国（境）团组0次，出国（境）0人。因公出国（境）支出决算</w:t>
      </w:r>
      <w:r>
        <w:rPr>
          <w:rStyle w:val="14"/>
          <w:rFonts w:eastAsia="仿宋"/>
          <w:b w:val="0"/>
          <w:bCs/>
          <w:color w:val="000000"/>
          <w:sz w:val="32"/>
          <w:szCs w:val="32"/>
        </w:rPr>
        <w:t>与20</w:t>
      </w:r>
      <w:r>
        <w:rPr>
          <w:rStyle w:val="14"/>
          <w:rFonts w:hint="eastAsia" w:eastAsia="仿宋"/>
          <w:b w:val="0"/>
          <w:bCs/>
          <w:color w:val="000000"/>
          <w:sz w:val="32"/>
          <w:szCs w:val="32"/>
        </w:rPr>
        <w:t>20</w:t>
      </w:r>
      <w:r>
        <w:rPr>
          <w:rStyle w:val="14"/>
          <w:rFonts w:eastAsia="仿宋"/>
          <w:b w:val="0"/>
          <w:bCs/>
          <w:color w:val="000000"/>
          <w:sz w:val="32"/>
          <w:szCs w:val="32"/>
        </w:rPr>
        <w:t>年持平。主要原因是没有发生因公出国（境）的情况</w:t>
      </w:r>
      <w:r>
        <w:rPr>
          <w:rFonts w:hint="eastAsia" w:ascii="仿宋_GB2312" w:eastAsia="仿宋_GB2312"/>
          <w:sz w:val="32"/>
          <w:szCs w:val="32"/>
        </w:rPr>
        <w:t>。</w:t>
      </w:r>
    </w:p>
    <w:p>
      <w:pPr>
        <w:spacing w:line="600" w:lineRule="exact"/>
        <w:ind w:firstLine="640"/>
        <w:rPr>
          <w:rFonts w:ascii="仿宋_GB2312" w:eastAsia="仿宋_GB2312"/>
          <w:sz w:val="32"/>
          <w:szCs w:val="32"/>
        </w:rPr>
      </w:pPr>
      <w:r>
        <w:rPr>
          <w:rFonts w:hint="eastAsia" w:ascii="仿宋_GB2312" w:eastAsia="仿宋_GB2312"/>
          <w:sz w:val="32"/>
          <w:szCs w:val="32"/>
        </w:rPr>
        <w:t>开支内容包括：无。</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5.29万元，</w:t>
      </w:r>
      <w:r>
        <w:rPr>
          <w:rStyle w:val="14"/>
          <w:rFonts w:hint="eastAsia" w:ascii="仿宋" w:hAnsi="仿宋" w:eastAsia="仿宋"/>
          <w:b w:val="0"/>
          <w:bCs/>
          <w:sz w:val="32"/>
          <w:szCs w:val="32"/>
        </w:rPr>
        <w:t>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公务用车购置及运行维护费支出决算比</w:t>
      </w:r>
      <w:r>
        <w:rPr>
          <w:rFonts w:ascii="仿宋_GB2312" w:eastAsia="仿宋_GB2312"/>
          <w:sz w:val="32"/>
          <w:szCs w:val="32"/>
        </w:rPr>
        <w:t>20</w:t>
      </w:r>
      <w:r>
        <w:rPr>
          <w:rFonts w:hint="eastAsia" w:ascii="仿宋_GB2312" w:eastAsia="仿宋_GB2312"/>
          <w:sz w:val="32"/>
          <w:szCs w:val="32"/>
        </w:rPr>
        <w:t>20年增加0.80万元，增长17.82</w:t>
      </w:r>
      <w:r>
        <w:rPr>
          <w:rFonts w:ascii="仿宋_GB2312" w:eastAsia="仿宋_GB2312"/>
          <w:sz w:val="32"/>
          <w:szCs w:val="32"/>
        </w:rPr>
        <w:t>%</w:t>
      </w:r>
      <w:r>
        <w:rPr>
          <w:rFonts w:hint="eastAsia" w:ascii="仿宋_GB2312" w:eastAsia="仿宋_GB2312"/>
          <w:sz w:val="32"/>
          <w:szCs w:val="32"/>
        </w:rPr>
        <w:t>。主要原因是车辆年限过长，运行维护费增加。</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0万元。全年按规定更新购置公务用车0辆，其中：轿车0辆、金额</w:t>
      </w:r>
      <w:r>
        <w:rPr>
          <w:rFonts w:ascii="仿宋_GB2312" w:eastAsia="仿宋_GB2312"/>
          <w:sz w:val="32"/>
          <w:szCs w:val="32"/>
        </w:rPr>
        <w:t>0</w:t>
      </w:r>
      <w:r>
        <w:rPr>
          <w:rFonts w:hint="eastAsia" w:ascii="仿宋_GB2312" w:eastAsia="仿宋_GB2312"/>
          <w:sz w:val="32"/>
          <w:szCs w:val="32"/>
        </w:rPr>
        <w:t>万元，越野车0辆、金额0万元，载客汽车0辆、金额0万元。截至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月底，单位共有公务用车3辆，其中：轿车1辆、货车1辆、载客汽车1辆。</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rPr>
        <w:t>5.29万元。主要用于</w:t>
      </w:r>
      <w:r>
        <w:rPr>
          <w:rFonts w:eastAsia="仿宋"/>
          <w:sz w:val="32"/>
          <w:szCs w:val="32"/>
        </w:rPr>
        <w:t>调研、检查督导、考察的车辆使用、接送机</w:t>
      </w:r>
      <w:r>
        <w:rPr>
          <w:rFonts w:hint="eastAsia" w:ascii="仿宋_GB2312" w:eastAsia="仿宋_GB2312"/>
          <w:sz w:val="32"/>
          <w:szCs w:val="32"/>
        </w:rPr>
        <w:t>等所需的公务用车燃料费、维修费、过路过桥费、保险费等支出。</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rPr>
        <w:t>0.33万元，</w:t>
      </w:r>
      <w:r>
        <w:rPr>
          <w:rStyle w:val="14"/>
          <w:rFonts w:hint="eastAsia" w:ascii="仿宋" w:hAnsi="仿宋" w:eastAsia="仿宋"/>
          <w:b w:val="0"/>
          <w:bCs/>
          <w:sz w:val="32"/>
          <w:szCs w:val="32"/>
        </w:rPr>
        <w:t>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20年增加0.03万元，增长10</w:t>
      </w:r>
      <w:r>
        <w:rPr>
          <w:rFonts w:ascii="仿宋_GB2312" w:eastAsia="仿宋_GB2312"/>
          <w:sz w:val="32"/>
          <w:szCs w:val="32"/>
        </w:rPr>
        <w:t>%</w:t>
      </w:r>
      <w:r>
        <w:rPr>
          <w:rFonts w:hint="eastAsia" w:ascii="仿宋_GB2312" w:eastAsia="仿宋_GB2312"/>
          <w:sz w:val="32"/>
          <w:szCs w:val="32"/>
        </w:rPr>
        <w:t>。主要原因是2021年公务接待业务相比2020年有所增加。其中：</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rPr>
        <w:t>0.33</w:t>
      </w:r>
      <w:r>
        <w:rPr>
          <w:rFonts w:hint="eastAsia" w:ascii="仿宋_GB2312" w:eastAsia="仿宋_GB2312"/>
          <w:sz w:val="32"/>
          <w:szCs w:val="32"/>
        </w:rPr>
        <w:t>万元，主要用于执行公务、开展业务活动开支的交通费、住宿费、用餐费等。国内公务接待3批次，28人次（不包括陪同人员），共计支出0.33万元，具体内容包括：接待省上来攀考察1批次，9人次，支出0.09万元；赴重庆走访调查三线军工文物接待1批次，15人次，支出0.19万元；接待省博物馆学会调研1批次，4人次，支出0.05万元。</w:t>
      </w:r>
      <w:bookmarkStart w:id="49" w:name="_Toc15377218"/>
      <w:bookmarkStart w:id="50" w:name="_Toc15396610"/>
    </w:p>
    <w:p>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hint="eastAsia" w:ascii="仿宋" w:hAnsi="仿宋" w:eastAsia="仿宋"/>
          <w:sz w:val="32"/>
          <w:szCs w:val="32"/>
          <w:lang w:val="en-US" w:eastAsia="zh-CN"/>
        </w:rPr>
        <w:t>0</w:t>
      </w:r>
      <w:r>
        <w:rPr>
          <w:rFonts w:hint="eastAsia" w:ascii="仿宋_GB2312" w:eastAsia="仿宋_GB2312"/>
          <w:sz w:val="32"/>
          <w:szCs w:val="32"/>
        </w:rPr>
        <w:t>万元，外事接待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人，共计支出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pStyle w:val="2"/>
        <w:spacing w:before="93"/>
      </w:pPr>
    </w:p>
    <w:p>
      <w:pPr>
        <w:spacing w:line="600" w:lineRule="exact"/>
        <w:ind w:firstLine="640"/>
        <w:outlineLvl w:val="1"/>
        <w:rPr>
          <w:rStyle w:val="25"/>
          <w:rFonts w:ascii="黑体" w:hAnsi="黑体" w:eastAsia="黑体"/>
        </w:rPr>
      </w:pPr>
      <w:bookmarkStart w:id="51" w:name="_Toc113008487"/>
      <w:r>
        <w:rPr>
          <w:rFonts w:hint="eastAsia" w:ascii="黑体" w:eastAsia="黑体"/>
          <w:sz w:val="32"/>
          <w:szCs w:val="32"/>
        </w:rPr>
        <w:t>八、</w:t>
      </w:r>
      <w:r>
        <w:rPr>
          <w:rStyle w:val="25"/>
          <w:rFonts w:hint="eastAsia" w:ascii="黑体" w:hAnsi="黑体" w:eastAsia="黑体"/>
          <w:b w:val="0"/>
        </w:rPr>
        <w:t>政府性基金预算支出决算情况说明</w:t>
      </w:r>
      <w:bookmarkEnd w:id="49"/>
      <w:bookmarkEnd w:id="50"/>
      <w:bookmarkEnd w:id="51"/>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21年政府性基金预算财政拨款支出0万元。</w:t>
      </w:r>
    </w:p>
    <w:p>
      <w:pPr>
        <w:spacing w:line="600" w:lineRule="exact"/>
        <w:ind w:firstLine="640"/>
        <w:rPr>
          <w:rFonts w:ascii="仿宋_GB2312" w:eastAsia="仿宋_GB2312"/>
          <w:sz w:val="32"/>
          <w:szCs w:val="32"/>
        </w:rPr>
      </w:pPr>
    </w:p>
    <w:p>
      <w:pPr>
        <w:spacing w:line="600" w:lineRule="exact"/>
        <w:ind w:firstLine="640" w:firstLineChars="200"/>
        <w:outlineLvl w:val="1"/>
        <w:rPr>
          <w:rStyle w:val="25"/>
          <w:rFonts w:ascii="黑体" w:hAnsi="黑体" w:eastAsia="黑体"/>
          <w:b w:val="0"/>
        </w:rPr>
      </w:pPr>
      <w:bookmarkStart w:id="52" w:name="_Toc113008488"/>
      <w:bookmarkStart w:id="53" w:name="_Toc15396611"/>
      <w:bookmarkStart w:id="54" w:name="_Toc15377219"/>
      <w:r>
        <w:rPr>
          <w:rStyle w:val="25"/>
          <w:rFonts w:hint="eastAsia" w:ascii="黑体" w:hAnsi="黑体" w:eastAsia="黑体"/>
          <w:b w:val="0"/>
        </w:rPr>
        <w:t>九、国有资本经营预算支出决算情况说明</w:t>
      </w:r>
      <w:bookmarkEnd w:id="52"/>
      <w:bookmarkEnd w:id="53"/>
      <w:bookmarkEnd w:id="54"/>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21年国有资本经营预算财政拨款支出0万元。</w:t>
      </w:r>
    </w:p>
    <w:p>
      <w:pPr>
        <w:spacing w:line="580" w:lineRule="exact"/>
        <w:jc w:val="center"/>
        <w:rPr>
          <w:rFonts w:ascii="方正小标宋简体" w:hAnsi="方正小标宋简体" w:eastAsia="方正小标宋简体" w:cs="方正小标宋简体"/>
          <w:sz w:val="44"/>
          <w:szCs w:val="44"/>
        </w:rPr>
      </w:pPr>
    </w:p>
    <w:p>
      <w:pPr>
        <w:spacing w:line="600" w:lineRule="exact"/>
        <w:ind w:firstLine="640" w:firstLineChars="200"/>
        <w:outlineLvl w:val="1"/>
        <w:rPr>
          <w:rStyle w:val="25"/>
          <w:rFonts w:ascii="黑体" w:hAnsi="黑体" w:eastAsia="黑体"/>
          <w:b w:val="0"/>
        </w:rPr>
      </w:pPr>
      <w:bookmarkStart w:id="55" w:name="_Toc113008489"/>
      <w:bookmarkStart w:id="56" w:name="_Toc15377221"/>
      <w:bookmarkStart w:id="57" w:name="_Toc15396612"/>
      <w:r>
        <w:rPr>
          <w:rStyle w:val="25"/>
          <w:rFonts w:hint="eastAsia" w:ascii="黑体" w:hAnsi="黑体" w:eastAsia="黑体"/>
          <w:b w:val="0"/>
        </w:rPr>
        <w:t>十、其他重要事项的情况说明</w:t>
      </w:r>
      <w:bookmarkEnd w:id="55"/>
      <w:bookmarkEnd w:id="56"/>
      <w:bookmarkEnd w:id="57"/>
    </w:p>
    <w:p>
      <w:pPr>
        <w:spacing w:line="600" w:lineRule="exact"/>
        <w:ind w:firstLine="643" w:firstLineChars="200"/>
        <w:rPr>
          <w:rFonts w:ascii="仿宋" w:hAnsi="仿宋" w:eastAsia="仿宋"/>
          <w:sz w:val="32"/>
          <w:szCs w:val="32"/>
        </w:rPr>
      </w:pPr>
      <w:bookmarkStart w:id="58" w:name="_Toc15377222"/>
      <w:r>
        <w:rPr>
          <w:rFonts w:hint="eastAsia" w:ascii="仿宋" w:hAnsi="仿宋" w:eastAsia="仿宋"/>
          <w:b/>
          <w:sz w:val="32"/>
          <w:szCs w:val="32"/>
        </w:rPr>
        <w:t>（一）机关运行经费支出情况</w:t>
      </w:r>
      <w:bookmarkEnd w:id="58"/>
    </w:p>
    <w:p>
      <w:pPr>
        <w:spacing w:line="600" w:lineRule="exact"/>
        <w:ind w:firstLine="640" w:firstLineChars="200"/>
        <w:rPr>
          <w:rFonts w:ascii="仿宋_GB2312" w:eastAsia="仿宋_GB2312"/>
          <w:sz w:val="32"/>
          <w:szCs w:val="32"/>
        </w:rPr>
      </w:pPr>
      <w:r>
        <w:rPr>
          <w:rFonts w:hint="eastAsia" w:ascii="仿宋_GB2312" w:eastAsia="仿宋_GB2312"/>
          <w:sz w:val="32"/>
          <w:szCs w:val="32"/>
        </w:rPr>
        <w:t>攀枝花中国三线建设博物馆是事业单位，</w:t>
      </w:r>
      <w:r>
        <w:rPr>
          <w:rFonts w:ascii="仿宋_GB2312" w:eastAsia="仿宋_GB2312"/>
          <w:sz w:val="32"/>
          <w:szCs w:val="32"/>
        </w:rPr>
        <w:t>20</w:t>
      </w:r>
      <w:r>
        <w:rPr>
          <w:rFonts w:hint="eastAsia" w:ascii="仿宋_GB2312" w:eastAsia="仿宋_GB2312"/>
          <w:sz w:val="32"/>
          <w:szCs w:val="32"/>
        </w:rPr>
        <w:t>21年，机关运行经费支出0万元。</w:t>
      </w:r>
    </w:p>
    <w:p>
      <w:pPr>
        <w:autoSpaceDE w:val="0"/>
        <w:autoSpaceDN w:val="0"/>
        <w:adjustRightInd w:val="0"/>
        <w:spacing w:line="600" w:lineRule="exact"/>
        <w:ind w:firstLine="643" w:firstLineChars="200"/>
        <w:jc w:val="left"/>
        <w:rPr>
          <w:rFonts w:ascii="仿宋" w:hAnsi="仿宋" w:eastAsia="仿宋"/>
          <w:b/>
          <w:sz w:val="32"/>
          <w:szCs w:val="32"/>
        </w:rPr>
      </w:pPr>
      <w:bookmarkStart w:id="59" w:name="_Toc15377223"/>
      <w:r>
        <w:rPr>
          <w:rFonts w:hint="eastAsia" w:ascii="仿宋" w:hAnsi="仿宋" w:eastAsia="仿宋"/>
          <w:b/>
          <w:sz w:val="32"/>
          <w:szCs w:val="32"/>
        </w:rPr>
        <w:t>（二）政府采购支出情况</w:t>
      </w:r>
      <w:bookmarkEnd w:id="59"/>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攀枝花中国三线建设博物馆政府采购支出总额297.03万元，其中：政府采购货物支出5.19万元、政府采购工程支出71.84万元、政府采购服务支出220万元。主要用于办公用电脑等5.19万元，文旅融合及配套休闲设施项目71.84万元，后勤保障服务购买220万元。授予中小企业合同金额297.03万元，占政府采购支出总额的100</w:t>
      </w:r>
      <w:r>
        <w:rPr>
          <w:rFonts w:ascii="仿宋_GB2312" w:eastAsia="仿宋_GB2312"/>
          <w:sz w:val="32"/>
          <w:szCs w:val="32"/>
        </w:rPr>
        <w:t>%</w:t>
      </w:r>
      <w:r>
        <w:rPr>
          <w:rFonts w:hint="eastAsia" w:ascii="仿宋_GB2312" w:eastAsia="仿宋_GB2312"/>
          <w:sz w:val="32"/>
          <w:szCs w:val="32"/>
        </w:rPr>
        <w:t>，其中：授予小微企业合同金额297.03万元，占政府采购支出总额的100</w:t>
      </w:r>
      <w:r>
        <w:rPr>
          <w:rFonts w:ascii="仿宋_GB2312" w:eastAsia="仿宋_GB2312"/>
          <w:sz w:val="32"/>
          <w:szCs w:val="32"/>
        </w:rPr>
        <w:t>%</w:t>
      </w:r>
      <w:r>
        <w:rPr>
          <w:rFonts w:hint="eastAsia" w:ascii="仿宋_GB2312" w:eastAsia="仿宋_GB2312"/>
          <w:sz w:val="32"/>
          <w:szCs w:val="32"/>
        </w:rPr>
        <w:t>。</w:t>
      </w:r>
    </w:p>
    <w:p>
      <w:pPr>
        <w:autoSpaceDE w:val="0"/>
        <w:autoSpaceDN w:val="0"/>
        <w:adjustRightInd w:val="0"/>
        <w:spacing w:line="600" w:lineRule="exact"/>
        <w:ind w:firstLine="643" w:firstLineChars="200"/>
        <w:jc w:val="left"/>
        <w:rPr>
          <w:rFonts w:ascii="仿宋" w:hAnsi="仿宋" w:eastAsia="仿宋"/>
          <w:b/>
          <w:sz w:val="32"/>
          <w:szCs w:val="32"/>
        </w:rPr>
      </w:pPr>
      <w:bookmarkStart w:id="60" w:name="_Toc15377224"/>
      <w:r>
        <w:rPr>
          <w:rFonts w:hint="eastAsia" w:ascii="仿宋" w:hAnsi="仿宋" w:eastAsia="仿宋"/>
          <w:b/>
          <w:sz w:val="32"/>
          <w:szCs w:val="32"/>
        </w:rPr>
        <w:t>（三）国有资产占有使用情况</w:t>
      </w:r>
      <w:bookmarkEnd w:id="60"/>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日，攀枝花中国三线建设博物馆共有车辆3辆，其中：主要领导干部用车0辆、机要通信用车0辆、应急保障用车0辆、其他用车3辆，其他用车主要是用于单位的日常公务使用。单价</w:t>
      </w:r>
      <w:r>
        <w:rPr>
          <w:rFonts w:ascii="仿宋_GB2312" w:eastAsia="仿宋_GB2312"/>
          <w:sz w:val="32"/>
          <w:szCs w:val="32"/>
        </w:rPr>
        <w:t>50</w:t>
      </w:r>
      <w:r>
        <w:rPr>
          <w:rFonts w:hint="eastAsia" w:ascii="仿宋_GB2312" w:eastAsia="仿宋_GB2312"/>
          <w:sz w:val="32"/>
          <w:szCs w:val="32"/>
        </w:rPr>
        <w:t>万元以上通用设备0台（套），单价</w:t>
      </w:r>
      <w:r>
        <w:rPr>
          <w:rFonts w:ascii="仿宋_GB2312" w:eastAsia="仿宋_GB2312"/>
          <w:sz w:val="32"/>
          <w:szCs w:val="32"/>
        </w:rPr>
        <w:t>100</w:t>
      </w:r>
      <w:r>
        <w:rPr>
          <w:rFonts w:hint="eastAsia" w:ascii="仿宋_GB2312" w:eastAsia="仿宋_GB2312"/>
          <w:sz w:val="32"/>
          <w:szCs w:val="32"/>
        </w:rPr>
        <w:t>万元以上专用设备0台（套）。</w:t>
      </w:r>
    </w:p>
    <w:p>
      <w:pPr>
        <w:autoSpaceDE w:val="0"/>
        <w:autoSpaceDN w:val="0"/>
        <w:adjustRightInd w:val="0"/>
        <w:spacing w:line="600" w:lineRule="exact"/>
        <w:ind w:firstLine="643" w:firstLineChars="200"/>
        <w:jc w:val="left"/>
        <w:rPr>
          <w:rFonts w:ascii="仿宋" w:hAnsi="仿宋" w:eastAsia="仿宋"/>
          <w:b/>
          <w:sz w:val="32"/>
          <w:szCs w:val="32"/>
        </w:rPr>
      </w:pPr>
      <w:r>
        <w:rPr>
          <w:rFonts w:hint="eastAsia" w:ascii="仿宋" w:hAnsi="仿宋" w:eastAsia="仿宋"/>
          <w:b/>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2021年度预算编制阶段，组织对建党100周年美术展项目等12个项目开展了预算事前绩效评估，对12个项目编制了绩效目标，预算执行过程中，选取12个项目开展绩效监控，年终执行完毕后，对12个项目开展了绩效自评，2021年特定目标类部门预算项目绩效目标自评表见附件（第四部分）。</w:t>
      </w:r>
    </w:p>
    <w:p>
      <w:pPr>
        <w:widowControl/>
        <w:jc w:val="left"/>
        <w:rPr>
          <w:rFonts w:ascii="仿宋_GB2312" w:eastAsia="仿宋_GB2312"/>
          <w:b/>
          <w:sz w:val="32"/>
          <w:szCs w:val="32"/>
        </w:rPr>
      </w:pPr>
    </w:p>
    <w:p>
      <w:pPr>
        <w:pStyle w:val="2"/>
        <w:rPr>
          <w:rFonts w:ascii="仿宋_GB2312" w:eastAsia="仿宋_GB2312"/>
          <w:b/>
          <w:sz w:val="32"/>
          <w:szCs w:val="32"/>
        </w:rPr>
      </w:pPr>
    </w:p>
    <w:p>
      <w:pPr>
        <w:pStyle w:val="2"/>
        <w:rPr>
          <w:rFonts w:ascii="仿宋_GB2312" w:eastAsia="仿宋_GB2312"/>
          <w:b/>
          <w:sz w:val="32"/>
          <w:szCs w:val="32"/>
        </w:rPr>
      </w:pPr>
    </w:p>
    <w:p>
      <w:pPr>
        <w:pStyle w:val="2"/>
        <w:rPr>
          <w:rFonts w:ascii="仿宋_GB2312" w:eastAsia="仿宋_GB2312"/>
          <w:b/>
          <w:sz w:val="32"/>
          <w:szCs w:val="32"/>
        </w:rPr>
      </w:pPr>
    </w:p>
    <w:p>
      <w:pPr>
        <w:pStyle w:val="2"/>
        <w:rPr>
          <w:rFonts w:ascii="仿宋_GB2312" w:eastAsia="仿宋_GB2312"/>
          <w:b/>
          <w:sz w:val="32"/>
          <w:szCs w:val="32"/>
        </w:rPr>
      </w:pPr>
    </w:p>
    <w:p>
      <w:pPr>
        <w:pStyle w:val="2"/>
        <w:rPr>
          <w:rFonts w:ascii="仿宋_GB2312" w:eastAsia="仿宋_GB2312"/>
          <w:b/>
          <w:sz w:val="32"/>
          <w:szCs w:val="32"/>
        </w:rPr>
      </w:pPr>
    </w:p>
    <w:p>
      <w:pPr>
        <w:pStyle w:val="2"/>
        <w:rPr>
          <w:rFonts w:ascii="仿宋_GB2312" w:eastAsia="仿宋_GB2312"/>
          <w:b/>
          <w:sz w:val="32"/>
          <w:szCs w:val="32"/>
        </w:rPr>
      </w:pPr>
    </w:p>
    <w:p>
      <w:pPr>
        <w:pStyle w:val="2"/>
        <w:rPr>
          <w:rFonts w:ascii="仿宋_GB2312" w:eastAsia="仿宋_GB2312"/>
          <w:b/>
          <w:sz w:val="32"/>
          <w:szCs w:val="32"/>
        </w:rPr>
      </w:pPr>
    </w:p>
    <w:p>
      <w:pPr>
        <w:pStyle w:val="2"/>
        <w:rPr>
          <w:rFonts w:ascii="仿宋_GB2312" w:eastAsia="仿宋_GB2312"/>
          <w:b/>
          <w:sz w:val="32"/>
          <w:szCs w:val="32"/>
        </w:rPr>
      </w:pPr>
    </w:p>
    <w:p>
      <w:pPr>
        <w:pStyle w:val="2"/>
        <w:rPr>
          <w:rFonts w:ascii="仿宋_GB2312" w:eastAsia="仿宋_GB2312"/>
          <w:b/>
          <w:sz w:val="32"/>
          <w:szCs w:val="32"/>
        </w:rPr>
      </w:pPr>
    </w:p>
    <w:p>
      <w:pPr>
        <w:pStyle w:val="2"/>
        <w:rPr>
          <w:rFonts w:ascii="仿宋_GB2312" w:eastAsia="仿宋_GB2312"/>
          <w:b/>
          <w:sz w:val="32"/>
          <w:szCs w:val="32"/>
        </w:rPr>
      </w:pPr>
    </w:p>
    <w:p>
      <w:pPr>
        <w:pStyle w:val="2"/>
        <w:rPr>
          <w:rFonts w:ascii="仿宋_GB2312" w:eastAsia="仿宋_GB2312"/>
          <w:b/>
          <w:sz w:val="32"/>
          <w:szCs w:val="32"/>
        </w:rPr>
      </w:pPr>
    </w:p>
    <w:p>
      <w:pPr>
        <w:pStyle w:val="2"/>
        <w:rPr>
          <w:rFonts w:ascii="仿宋_GB2312" w:eastAsia="仿宋_GB2312"/>
          <w:b/>
          <w:sz w:val="32"/>
          <w:szCs w:val="32"/>
        </w:rPr>
      </w:pPr>
    </w:p>
    <w:p>
      <w:pPr>
        <w:pStyle w:val="2"/>
        <w:rPr>
          <w:rFonts w:ascii="仿宋_GB2312" w:eastAsia="仿宋_GB2312"/>
          <w:b/>
          <w:sz w:val="32"/>
          <w:szCs w:val="32"/>
        </w:rPr>
      </w:pPr>
    </w:p>
    <w:p>
      <w:pPr>
        <w:pStyle w:val="2"/>
        <w:rPr>
          <w:rFonts w:ascii="仿宋_GB2312" w:eastAsia="仿宋_GB2312"/>
          <w:b/>
          <w:sz w:val="32"/>
          <w:szCs w:val="32"/>
        </w:rPr>
      </w:pPr>
    </w:p>
    <w:p>
      <w:pPr>
        <w:pStyle w:val="2"/>
        <w:rPr>
          <w:rFonts w:ascii="仿宋_GB2312" w:eastAsia="仿宋_GB2312"/>
          <w:b/>
          <w:sz w:val="32"/>
          <w:szCs w:val="32"/>
        </w:rPr>
      </w:pPr>
    </w:p>
    <w:p>
      <w:pPr>
        <w:pStyle w:val="2"/>
        <w:rPr>
          <w:rFonts w:ascii="仿宋_GB2312" w:eastAsia="仿宋_GB2312"/>
          <w:b/>
          <w:sz w:val="32"/>
          <w:szCs w:val="32"/>
        </w:rPr>
      </w:pPr>
    </w:p>
    <w:p>
      <w:pPr>
        <w:pStyle w:val="2"/>
        <w:rPr>
          <w:rFonts w:ascii="仿宋_GB2312" w:eastAsia="仿宋_GB2312"/>
          <w:b/>
          <w:sz w:val="32"/>
          <w:szCs w:val="32"/>
        </w:rPr>
      </w:pPr>
    </w:p>
    <w:p>
      <w:pPr>
        <w:numPr>
          <w:ilvl w:val="0"/>
          <w:numId w:val="2"/>
        </w:numPr>
        <w:spacing w:line="600" w:lineRule="exact"/>
        <w:ind w:firstLine="660" w:firstLineChars="150"/>
        <w:jc w:val="center"/>
        <w:outlineLvl w:val="0"/>
        <w:rPr>
          <w:rStyle w:val="24"/>
          <w:rFonts w:ascii="黑体" w:hAnsi="黑体" w:eastAsia="黑体"/>
          <w:b w:val="0"/>
        </w:rPr>
      </w:pPr>
      <w:bookmarkStart w:id="61" w:name="_Toc113008490"/>
      <w:bookmarkStart w:id="62" w:name="_Toc15377225"/>
      <w:bookmarkStart w:id="63" w:name="_Toc15396613"/>
      <w:r>
        <w:rPr>
          <w:rFonts w:hint="eastAsia" w:ascii="黑体" w:hAnsi="黑体" w:eastAsia="黑体"/>
          <w:sz w:val="44"/>
          <w:szCs w:val="44"/>
        </w:rPr>
        <w:t>名</w:t>
      </w:r>
      <w:r>
        <w:rPr>
          <w:rStyle w:val="24"/>
          <w:rFonts w:hint="eastAsia" w:ascii="黑体" w:hAnsi="黑体" w:eastAsia="黑体"/>
          <w:b w:val="0"/>
        </w:rPr>
        <w:t>词解释</w:t>
      </w:r>
      <w:bookmarkEnd w:id="61"/>
      <w:bookmarkEnd w:id="62"/>
      <w:bookmarkEnd w:id="63"/>
    </w:p>
    <w:p>
      <w:pPr>
        <w:spacing w:line="600" w:lineRule="exact"/>
        <w:jc w:val="left"/>
        <w:rPr>
          <w:rFonts w:ascii="宋体"/>
          <w:b/>
          <w:sz w:val="44"/>
          <w:szCs w:val="44"/>
        </w:rPr>
      </w:pPr>
    </w:p>
    <w:p>
      <w:pPr>
        <w:pStyle w:val="2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w:t>
      </w:r>
      <w:r>
        <w:rPr>
          <w:rFonts w:ascii="仿宋_GB2312" w:eastAsia="仿宋_GB2312"/>
          <w:color w:val="auto"/>
          <w:sz w:val="32"/>
          <w:szCs w:val="32"/>
        </w:rPr>
        <w:t>.</w:t>
      </w:r>
      <w:r>
        <w:rPr>
          <w:rFonts w:hint="eastAsia" w:ascii="仿宋_GB2312" w:eastAsia="仿宋_GB2312"/>
          <w:color w:val="auto"/>
          <w:sz w:val="32"/>
          <w:szCs w:val="32"/>
        </w:rPr>
        <w:t>其他收入：指单位取得的除上述收入以外的各项收入。主要是利息收入、非本级拨款等。</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w:t>
      </w:r>
      <w:r>
        <w:rPr>
          <w:rFonts w:ascii="仿宋_GB2312" w:eastAsia="仿宋_GB2312"/>
          <w:color w:val="auto"/>
          <w:sz w:val="32"/>
          <w:szCs w:val="32"/>
        </w:rPr>
        <w:t>.</w:t>
      </w:r>
      <w:r>
        <w:rPr>
          <w:rFonts w:hint="eastAsia" w:ascii="仿宋_GB2312" w:eastAsia="仿宋_GB2312"/>
          <w:color w:val="auto"/>
          <w:sz w:val="32"/>
          <w:szCs w:val="32"/>
        </w:rPr>
        <w:t>年初结转和结余：指以前年度尚未完成、结转到本年按有关规定继续使用的资金。</w:t>
      </w:r>
    </w:p>
    <w:p>
      <w:pPr>
        <w:ind w:firstLine="640" w:firstLineChars="200"/>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w:t>
      </w:r>
      <w:r>
        <w:rPr>
          <w:rFonts w:hint="eastAsia" w:ascii="仿宋_GB2312" w:eastAsia="仿宋_GB2312"/>
          <w:sz w:val="32"/>
          <w:szCs w:val="32"/>
        </w:rPr>
        <w:t>一般公共服务（类）宣传事务（款）其他宣传事务支出（项）：指用于其他宣传事务方面的支出。</w:t>
      </w:r>
    </w:p>
    <w:p>
      <w:pPr>
        <w:ind w:firstLine="640" w:firstLineChars="200"/>
        <w:rPr>
          <w:rFonts w:ascii="仿宋_GB2312" w:eastAsia="仿宋_GB2312"/>
          <w:sz w:val="32"/>
          <w:szCs w:val="32"/>
        </w:rPr>
      </w:pPr>
      <w:r>
        <w:rPr>
          <w:rFonts w:hint="eastAsia" w:ascii="仿宋_GB2312" w:eastAsia="仿宋_GB2312"/>
          <w:sz w:val="32"/>
          <w:szCs w:val="32"/>
        </w:rPr>
        <w:t>5</w:t>
      </w:r>
      <w:r>
        <w:rPr>
          <w:rFonts w:ascii="仿宋_GB2312" w:eastAsia="仿宋_GB2312"/>
          <w:sz w:val="32"/>
          <w:szCs w:val="32"/>
        </w:rPr>
        <w:t>.</w:t>
      </w:r>
      <w:r>
        <w:rPr>
          <w:rFonts w:hint="eastAsia" w:ascii="仿宋_GB2312" w:eastAsia="仿宋_GB2312"/>
          <w:sz w:val="32"/>
          <w:szCs w:val="32"/>
        </w:rPr>
        <w:t>科学技术（类）其他科学技术支出（款）其他科学技术支出（项）：指</w:t>
      </w:r>
      <w:r>
        <w:rPr>
          <w:rFonts w:eastAsia="仿宋"/>
          <w:sz w:val="32"/>
          <w:szCs w:val="32"/>
        </w:rPr>
        <w:t>其他科学技术支出中用于指定项目之外科技方面的支出</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6</w:t>
      </w:r>
      <w:r>
        <w:rPr>
          <w:rFonts w:ascii="仿宋_GB2312" w:eastAsia="仿宋_GB2312"/>
          <w:sz w:val="32"/>
          <w:szCs w:val="32"/>
        </w:rPr>
        <w:t>.</w:t>
      </w:r>
      <w:r>
        <w:rPr>
          <w:rFonts w:hint="eastAsia" w:ascii="仿宋_GB2312" w:eastAsia="仿宋_GB2312"/>
          <w:sz w:val="32"/>
          <w:szCs w:val="32"/>
        </w:rPr>
        <w:t>文化旅游体育与传媒（类）</w:t>
      </w:r>
      <w:r>
        <w:rPr>
          <w:rFonts w:eastAsia="仿宋"/>
          <w:sz w:val="32"/>
          <w:szCs w:val="32"/>
        </w:rPr>
        <w:t>文物（款）文物保护（项），指：考古发掘及文物保护方面的支出；文化旅游体育与传媒（类）文物（款）博物馆（项），指</w:t>
      </w:r>
      <w:r>
        <w:rPr>
          <w:rFonts w:hint="eastAsia" w:eastAsia="仿宋"/>
          <w:sz w:val="32"/>
          <w:szCs w:val="32"/>
        </w:rPr>
        <w:t>：</w:t>
      </w:r>
      <w:r>
        <w:rPr>
          <w:rFonts w:eastAsia="仿宋"/>
          <w:sz w:val="32"/>
          <w:szCs w:val="32"/>
        </w:rPr>
        <w:t>博物馆、纪念馆用于人员经费、机构运转经费以及开展专业业务活动的支出</w:t>
      </w:r>
      <w:r>
        <w:rPr>
          <w:rFonts w:hint="eastAsia" w:eastAsia="仿宋"/>
          <w:sz w:val="32"/>
          <w:szCs w:val="32"/>
        </w:rPr>
        <w:t>；</w:t>
      </w:r>
      <w:r>
        <w:rPr>
          <w:rFonts w:eastAsia="仿宋"/>
          <w:sz w:val="32"/>
          <w:szCs w:val="32"/>
        </w:rPr>
        <w:t>文化旅游体育与传媒支出（类）其他文化旅游体育与传媒支出（款）宣传文化发展专项支出（项），指：按照国家有关政策支持宣传文化单位发展的专项支出；文化旅游体育与传媒（类）其他文化旅游体育与传媒支出（款）其他文化旅游体育与传媒支出（项），指：上述项目以外用于其他文化旅游体育与传媒方面的支出</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7</w:t>
      </w:r>
      <w:r>
        <w:rPr>
          <w:rFonts w:ascii="仿宋_GB2312" w:eastAsia="仿宋_GB2312"/>
          <w:sz w:val="32"/>
          <w:szCs w:val="32"/>
        </w:rPr>
        <w:t>.</w:t>
      </w:r>
      <w:r>
        <w:rPr>
          <w:rFonts w:hint="eastAsia" w:ascii="仿宋_GB2312" w:eastAsia="仿宋_GB2312"/>
          <w:sz w:val="32"/>
          <w:szCs w:val="32"/>
        </w:rPr>
        <w:t>社会保障和就业（类）人力资源和社会保障管理事务（款）其他人力资源和社会保障管理事务支出（项）：指用于其他人力资源和社会保障管理事务方面的支出；</w:t>
      </w:r>
      <w:r>
        <w:rPr>
          <w:rFonts w:eastAsia="仿宋"/>
          <w:sz w:val="32"/>
          <w:szCs w:val="32"/>
        </w:rPr>
        <w:t>社会保障和就业（类）行政事业单位养老支出（款）事业单位离退休（项），指：事业单位开支的离退休经费；社会保障和就业（类）行政事业单位养老支出（款）机关事业单位基本养老保险缴费支出（项），指：</w:t>
      </w:r>
      <w:r>
        <w:rPr>
          <w:rFonts w:hint="eastAsia" w:eastAsia="仿宋"/>
          <w:sz w:val="32"/>
          <w:szCs w:val="32"/>
        </w:rPr>
        <w:t>攀枝花中国三线建设博物馆</w:t>
      </w:r>
      <w:r>
        <w:rPr>
          <w:rFonts w:eastAsia="仿宋"/>
          <w:sz w:val="32"/>
          <w:szCs w:val="32"/>
        </w:rPr>
        <w:t>实施养老保险制度由单位缴纳的基本养老保险费支出</w:t>
      </w:r>
      <w:r>
        <w:rPr>
          <w:rFonts w:hint="eastAsia" w:ascii="仿宋_GB2312" w:eastAsia="仿宋_GB2312"/>
          <w:sz w:val="32"/>
          <w:szCs w:val="32"/>
        </w:rPr>
        <w:t>。</w:t>
      </w:r>
    </w:p>
    <w:p>
      <w:pPr>
        <w:spacing w:line="580" w:lineRule="exact"/>
        <w:ind w:firstLine="640" w:firstLineChars="200"/>
        <w:rPr>
          <w:rFonts w:eastAsia="仿宋"/>
          <w:sz w:val="32"/>
          <w:szCs w:val="32"/>
        </w:rPr>
      </w:pPr>
      <w:r>
        <w:rPr>
          <w:rFonts w:hint="eastAsia" w:ascii="仿宋_GB2312" w:eastAsia="仿宋_GB2312"/>
          <w:sz w:val="32"/>
          <w:szCs w:val="32"/>
        </w:rPr>
        <w:t>8</w:t>
      </w:r>
      <w:r>
        <w:rPr>
          <w:rFonts w:ascii="仿宋_GB2312" w:eastAsia="仿宋_GB2312"/>
          <w:sz w:val="32"/>
          <w:szCs w:val="32"/>
        </w:rPr>
        <w:t>.</w:t>
      </w:r>
      <w:r>
        <w:rPr>
          <w:rFonts w:hint="eastAsia" w:ascii="仿宋_GB2312" w:eastAsia="仿宋_GB2312"/>
          <w:sz w:val="32"/>
          <w:szCs w:val="32"/>
        </w:rPr>
        <w:t>住房保障（类）</w:t>
      </w:r>
      <w:r>
        <w:rPr>
          <w:rFonts w:eastAsia="仿宋"/>
          <w:sz w:val="32"/>
          <w:szCs w:val="32"/>
        </w:rPr>
        <w:t>住房改革支出（款）住房公积金（项），指按照人力资源和社会保障部、财政部规定的基本工资和津贴补贴以及规定比例为职工缴纳的住房公积金。</w:t>
      </w:r>
    </w:p>
    <w:p>
      <w:pPr>
        <w:ind w:firstLine="640" w:firstLineChars="200"/>
        <w:rPr>
          <w:rFonts w:ascii="仿宋_GB2312" w:eastAsia="仿宋_GB2312"/>
          <w:sz w:val="32"/>
          <w:szCs w:val="32"/>
        </w:rPr>
      </w:pPr>
      <w:r>
        <w:rPr>
          <w:rFonts w:hint="eastAsia" w:ascii="仿宋_GB2312" w:eastAsia="仿宋_GB2312"/>
          <w:sz w:val="32"/>
          <w:szCs w:val="32"/>
        </w:rPr>
        <w:t>9</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rPr>
        <w:t>10</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11</w:t>
      </w:r>
      <w:r>
        <w:rPr>
          <w:rFonts w:ascii="仿宋_GB2312" w:eastAsia="仿宋_GB2312"/>
          <w:color w:val="auto"/>
          <w:sz w:val="32"/>
          <w:szCs w:val="32"/>
        </w:rPr>
        <w:t>.</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jc w:val="center"/>
        <w:outlineLvl w:val="0"/>
        <w:rPr>
          <w:rStyle w:val="24"/>
          <w:rFonts w:ascii="黑体" w:hAnsi="黑体" w:eastAsia="黑体"/>
          <w:b w:val="0"/>
        </w:rPr>
      </w:pPr>
      <w:bookmarkStart w:id="64" w:name="_Toc15377226"/>
      <w:r>
        <w:rPr>
          <w:rFonts w:ascii="宋体"/>
          <w:b/>
          <w:sz w:val="44"/>
          <w:szCs w:val="44"/>
        </w:rPr>
        <w:br w:type="page"/>
      </w:r>
      <w:bookmarkStart w:id="65" w:name="_Toc113008491"/>
      <w:bookmarkStart w:id="66" w:name="_Toc15396614"/>
      <w:r>
        <w:rPr>
          <w:rFonts w:hint="eastAsia" w:ascii="黑体" w:hAnsi="黑体" w:eastAsia="黑体"/>
          <w:sz w:val="44"/>
          <w:szCs w:val="44"/>
        </w:rPr>
        <w:t>第</w:t>
      </w:r>
      <w:r>
        <w:rPr>
          <w:rStyle w:val="24"/>
          <w:rFonts w:hint="eastAsia" w:ascii="黑体" w:hAnsi="黑体" w:eastAsia="黑体"/>
          <w:b w:val="0"/>
        </w:rPr>
        <w:t>四部分 附件</w:t>
      </w:r>
      <w:bookmarkEnd w:id="65"/>
      <w:bookmarkEnd w:id="66"/>
    </w:p>
    <w:p>
      <w:pPr>
        <w:spacing w:line="572" w:lineRule="exact"/>
        <w:jc w:val="left"/>
        <w:rPr>
          <w:rFonts w:ascii="仿宋_GB2312" w:hAnsi="仿宋_GB2312" w:eastAsia="仿宋_GB2312" w:cs="仿宋_GB2312"/>
          <w:sz w:val="32"/>
          <w:szCs w:val="32"/>
        </w:rPr>
      </w:pPr>
      <w:r>
        <w:rPr>
          <w:rFonts w:hint="eastAsia" w:ascii="黑体" w:hAnsi="黑体" w:eastAsia="黑体" w:cs="黑体"/>
          <w:sz w:val="32"/>
          <w:szCs w:val="32"/>
        </w:rPr>
        <w:t>附件</w:t>
      </w:r>
    </w:p>
    <w:tbl>
      <w:tblPr>
        <w:tblStyle w:val="12"/>
        <w:tblpPr w:leftFromText="180" w:rightFromText="180" w:vertAnchor="text" w:horzAnchor="page" w:tblpX="646" w:tblpY="660"/>
        <w:tblOverlap w:val="never"/>
        <w:tblW w:w="11152" w:type="dxa"/>
        <w:tblInd w:w="0" w:type="dxa"/>
        <w:tblLayout w:type="fixed"/>
        <w:tblCellMar>
          <w:top w:w="0" w:type="dxa"/>
          <w:left w:w="108" w:type="dxa"/>
          <w:bottom w:w="0" w:type="dxa"/>
          <w:right w:w="108" w:type="dxa"/>
        </w:tblCellMar>
      </w:tblPr>
      <w:tblGrid>
        <w:gridCol w:w="851"/>
        <w:gridCol w:w="675"/>
        <w:gridCol w:w="1134"/>
        <w:gridCol w:w="34"/>
        <w:gridCol w:w="2268"/>
        <w:gridCol w:w="2943"/>
        <w:gridCol w:w="3011"/>
        <w:gridCol w:w="236"/>
      </w:tblGrid>
      <w:tr>
        <w:tblPrEx>
          <w:tblCellMar>
            <w:top w:w="0" w:type="dxa"/>
            <w:left w:w="108" w:type="dxa"/>
            <w:bottom w:w="0" w:type="dxa"/>
            <w:right w:w="108" w:type="dxa"/>
          </w:tblCellMar>
        </w:tblPrEx>
        <w:trPr>
          <w:trHeight w:val="675" w:hRule="atLeast"/>
        </w:trPr>
        <w:tc>
          <w:tcPr>
            <w:tcW w:w="10916" w:type="dxa"/>
            <w:gridSpan w:val="7"/>
            <w:tcBorders>
              <w:top w:val="nil"/>
              <w:left w:val="nil"/>
              <w:bottom w:val="nil"/>
              <w:right w:val="nil"/>
            </w:tcBorders>
            <w:shd w:val="clear" w:color="auto" w:fill="auto"/>
            <w:vAlign w:val="center"/>
          </w:tcPr>
          <w:p>
            <w:pPr>
              <w:widowControl/>
              <w:jc w:val="center"/>
              <w:textAlignment w:val="center"/>
              <w:rPr>
                <w:rFonts w:ascii="宋体" w:hAnsi="宋体" w:cs="宋体"/>
                <w:b/>
                <w:sz w:val="32"/>
                <w:szCs w:val="32"/>
              </w:rPr>
            </w:pPr>
            <w:bookmarkStart w:id="67" w:name="_Toc15396618"/>
            <w:r>
              <w:rPr>
                <w:rFonts w:hint="eastAsia" w:ascii="宋体" w:hAnsi="宋体" w:cs="宋体"/>
                <w:b/>
                <w:sz w:val="32"/>
                <w:szCs w:val="32"/>
              </w:rPr>
              <w:t>2019年省级文化旅游融合示范项目绩效目标自评</w:t>
            </w:r>
          </w:p>
        </w:tc>
        <w:tc>
          <w:tcPr>
            <w:tcW w:w="236"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rPr>
            </w:pPr>
          </w:p>
        </w:tc>
      </w:tr>
      <w:tr>
        <w:tblPrEx>
          <w:tblCellMar>
            <w:top w:w="0" w:type="dxa"/>
            <w:left w:w="108" w:type="dxa"/>
            <w:bottom w:w="0" w:type="dxa"/>
            <w:right w:w="108" w:type="dxa"/>
          </w:tblCellMar>
        </w:tblPrEx>
        <w:trPr>
          <w:gridAfter w:val="1"/>
          <w:wAfter w:w="236" w:type="dxa"/>
          <w:trHeight w:val="254" w:hRule="atLeast"/>
        </w:trPr>
        <w:tc>
          <w:tcPr>
            <w:tcW w:w="1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0"/>
                <w:szCs w:val="20"/>
              </w:rPr>
            </w:pPr>
            <w:r>
              <w:rPr>
                <w:rFonts w:hint="eastAsia" w:ascii="宋体" w:hAnsi="宋体" w:cs="宋体"/>
                <w:kern w:val="0"/>
                <w:sz w:val="20"/>
                <w:szCs w:val="20"/>
              </w:rPr>
              <w:t>主管部门及代码</w:t>
            </w:r>
          </w:p>
        </w:tc>
        <w:tc>
          <w:tcPr>
            <w:tcW w:w="34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0"/>
                <w:szCs w:val="20"/>
              </w:rPr>
            </w:pPr>
            <w:r>
              <w:rPr>
                <w:rFonts w:hint="eastAsia" w:ascii="宋体" w:hAnsi="宋体"/>
                <w:sz w:val="20"/>
                <w:szCs w:val="20"/>
              </w:rPr>
              <w:t>205001－攀枝花市文化广播电视和旅游局</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0"/>
                <w:szCs w:val="20"/>
              </w:rPr>
            </w:pPr>
            <w:r>
              <w:rPr>
                <w:rFonts w:hint="eastAsia" w:ascii="宋体" w:hAnsi="宋体" w:cs="宋体"/>
                <w:kern w:val="0"/>
                <w:sz w:val="20"/>
                <w:szCs w:val="20"/>
              </w:rPr>
              <w:t>实施单位</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0"/>
                <w:szCs w:val="20"/>
              </w:rPr>
            </w:pPr>
            <w:r>
              <w:rPr>
                <w:rFonts w:hint="eastAsia" w:ascii="宋体" w:hAnsi="宋体" w:cs="宋体"/>
                <w:sz w:val="20"/>
                <w:szCs w:val="20"/>
              </w:rPr>
              <w:t>攀枝花中国三线建设博物馆</w:t>
            </w:r>
          </w:p>
        </w:tc>
      </w:tr>
      <w:tr>
        <w:tblPrEx>
          <w:tblCellMar>
            <w:top w:w="0" w:type="dxa"/>
            <w:left w:w="108" w:type="dxa"/>
            <w:bottom w:w="0" w:type="dxa"/>
            <w:right w:w="108" w:type="dxa"/>
          </w:tblCellMar>
        </w:tblPrEx>
        <w:trPr>
          <w:gridAfter w:val="1"/>
          <w:wAfter w:w="236" w:type="dxa"/>
          <w:trHeight w:val="341" w:hRule="atLeast"/>
        </w:trPr>
        <w:tc>
          <w:tcPr>
            <w:tcW w:w="152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0"/>
                <w:szCs w:val="20"/>
              </w:rPr>
            </w:pPr>
            <w:r>
              <w:rPr>
                <w:rFonts w:hint="eastAsia" w:ascii="宋体" w:hAnsi="宋体" w:cs="宋体"/>
                <w:kern w:val="0"/>
                <w:sz w:val="20"/>
                <w:szCs w:val="20"/>
              </w:rPr>
              <w:t>项目预算</w:t>
            </w:r>
          </w:p>
          <w:p>
            <w:pPr>
              <w:widowControl/>
              <w:spacing w:line="320" w:lineRule="exact"/>
              <w:jc w:val="left"/>
              <w:textAlignment w:val="center"/>
              <w:rPr>
                <w:rFonts w:ascii="宋体" w:hAnsi="宋体" w:cs="宋体"/>
                <w:kern w:val="0"/>
                <w:sz w:val="20"/>
                <w:szCs w:val="20"/>
              </w:rPr>
            </w:pPr>
            <w:r>
              <w:rPr>
                <w:rFonts w:hint="eastAsia" w:ascii="宋体" w:hAnsi="宋体" w:cs="宋体"/>
                <w:kern w:val="0"/>
                <w:sz w:val="20"/>
                <w:szCs w:val="20"/>
              </w:rPr>
              <w:t>执行情况</w:t>
            </w:r>
          </w:p>
          <w:p>
            <w:pPr>
              <w:widowControl/>
              <w:spacing w:line="320" w:lineRule="exact"/>
              <w:jc w:val="left"/>
              <w:textAlignment w:val="center"/>
              <w:rPr>
                <w:rFonts w:ascii="宋体" w:hAnsi="宋体" w:cs="宋体"/>
                <w:sz w:val="20"/>
                <w:szCs w:val="20"/>
              </w:rPr>
            </w:pPr>
            <w:r>
              <w:rPr>
                <w:rFonts w:hint="eastAsia" w:ascii="宋体" w:hAnsi="宋体" w:cs="宋体"/>
                <w:kern w:val="0"/>
                <w:sz w:val="20"/>
                <w:szCs w:val="20"/>
              </w:rPr>
              <w:t>（万元）</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0"/>
                <w:szCs w:val="20"/>
              </w:rPr>
            </w:pPr>
            <w:r>
              <w:rPr>
                <w:rFonts w:hint="eastAsia" w:ascii="宋体" w:hAnsi="宋体" w:cs="宋体"/>
                <w:kern w:val="0"/>
                <w:sz w:val="20"/>
                <w:szCs w:val="20"/>
              </w:rPr>
              <w:t xml:space="preserve"> 预算数：</w:t>
            </w:r>
          </w:p>
        </w:tc>
        <w:tc>
          <w:tcPr>
            <w:tcW w:w="23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0"/>
                <w:szCs w:val="20"/>
              </w:rPr>
            </w:pPr>
            <w:r>
              <w:rPr>
                <w:rFonts w:hint="eastAsia" w:ascii="宋体" w:hAnsi="宋体" w:cs="宋体"/>
                <w:sz w:val="20"/>
                <w:szCs w:val="20"/>
              </w:rPr>
              <w:t>600</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0"/>
                <w:szCs w:val="20"/>
              </w:rPr>
            </w:pPr>
            <w:r>
              <w:rPr>
                <w:rFonts w:hint="eastAsia" w:ascii="宋体" w:hAnsi="宋体" w:cs="宋体"/>
                <w:kern w:val="0"/>
                <w:sz w:val="20"/>
                <w:szCs w:val="20"/>
              </w:rPr>
              <w:t xml:space="preserve"> 执行数：</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0"/>
                <w:szCs w:val="20"/>
              </w:rPr>
            </w:pPr>
            <w:r>
              <w:rPr>
                <w:rFonts w:hint="eastAsia" w:ascii="宋体" w:hAnsi="宋体" w:cs="宋体"/>
                <w:sz w:val="20"/>
                <w:szCs w:val="20"/>
              </w:rPr>
              <w:t>519.09</w:t>
            </w:r>
          </w:p>
        </w:tc>
      </w:tr>
      <w:tr>
        <w:tblPrEx>
          <w:tblCellMar>
            <w:top w:w="0" w:type="dxa"/>
            <w:left w:w="108" w:type="dxa"/>
            <w:bottom w:w="0" w:type="dxa"/>
            <w:right w:w="108" w:type="dxa"/>
          </w:tblCellMar>
        </w:tblPrEx>
        <w:trPr>
          <w:gridAfter w:val="1"/>
          <w:wAfter w:w="236" w:type="dxa"/>
          <w:trHeight w:val="555" w:hRule="atLeast"/>
        </w:trPr>
        <w:tc>
          <w:tcPr>
            <w:tcW w:w="15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ascii="宋体" w:hAnsi="宋体" w:cs="宋体"/>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0"/>
                <w:szCs w:val="20"/>
              </w:rPr>
            </w:pPr>
            <w:r>
              <w:rPr>
                <w:rFonts w:hint="eastAsia" w:ascii="宋体" w:hAnsi="宋体" w:cs="宋体"/>
                <w:kern w:val="0"/>
                <w:sz w:val="20"/>
                <w:szCs w:val="20"/>
              </w:rPr>
              <w:t>其中：</w:t>
            </w:r>
          </w:p>
          <w:p>
            <w:pPr>
              <w:widowControl/>
              <w:spacing w:line="320" w:lineRule="exact"/>
              <w:jc w:val="left"/>
              <w:textAlignment w:val="center"/>
              <w:rPr>
                <w:rFonts w:ascii="宋体" w:hAnsi="宋体" w:cs="宋体"/>
                <w:sz w:val="20"/>
                <w:szCs w:val="20"/>
              </w:rPr>
            </w:pPr>
            <w:r>
              <w:rPr>
                <w:rFonts w:hint="eastAsia" w:ascii="宋体" w:hAnsi="宋体" w:cs="宋体"/>
                <w:kern w:val="0"/>
                <w:sz w:val="20"/>
                <w:szCs w:val="20"/>
              </w:rPr>
              <w:t>财政拨款</w:t>
            </w:r>
          </w:p>
        </w:tc>
        <w:tc>
          <w:tcPr>
            <w:tcW w:w="23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0"/>
                <w:szCs w:val="20"/>
              </w:rPr>
            </w:pPr>
            <w:r>
              <w:rPr>
                <w:rFonts w:hint="eastAsia" w:ascii="宋体" w:hAnsi="宋体" w:cs="宋体"/>
                <w:sz w:val="20"/>
                <w:szCs w:val="20"/>
              </w:rPr>
              <w:t>600</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0"/>
                <w:szCs w:val="20"/>
              </w:rPr>
            </w:pPr>
            <w:r>
              <w:rPr>
                <w:rFonts w:hint="eastAsia" w:ascii="宋体" w:hAnsi="宋体" w:cs="宋体"/>
                <w:kern w:val="0"/>
                <w:sz w:val="20"/>
                <w:szCs w:val="20"/>
              </w:rPr>
              <w:t>其中：</w:t>
            </w:r>
          </w:p>
          <w:p>
            <w:pPr>
              <w:widowControl/>
              <w:spacing w:line="320" w:lineRule="exact"/>
              <w:jc w:val="left"/>
              <w:textAlignment w:val="center"/>
              <w:rPr>
                <w:rFonts w:ascii="宋体" w:hAnsi="宋体" w:cs="宋体"/>
                <w:sz w:val="20"/>
                <w:szCs w:val="20"/>
              </w:rPr>
            </w:pPr>
            <w:r>
              <w:rPr>
                <w:rFonts w:hint="eastAsia" w:ascii="宋体" w:hAnsi="宋体" w:cs="宋体"/>
                <w:kern w:val="0"/>
                <w:sz w:val="20"/>
                <w:szCs w:val="20"/>
              </w:rPr>
              <w:t>财政拨款</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0"/>
                <w:szCs w:val="20"/>
              </w:rPr>
            </w:pPr>
            <w:r>
              <w:rPr>
                <w:rFonts w:hint="eastAsia" w:ascii="宋体" w:hAnsi="宋体" w:cs="宋体"/>
                <w:sz w:val="20"/>
                <w:szCs w:val="20"/>
              </w:rPr>
              <w:t>519.09</w:t>
            </w:r>
          </w:p>
        </w:tc>
      </w:tr>
      <w:tr>
        <w:tblPrEx>
          <w:tblCellMar>
            <w:top w:w="0" w:type="dxa"/>
            <w:left w:w="108" w:type="dxa"/>
            <w:bottom w:w="0" w:type="dxa"/>
            <w:right w:w="108" w:type="dxa"/>
          </w:tblCellMar>
        </w:tblPrEx>
        <w:trPr>
          <w:gridAfter w:val="1"/>
          <w:wAfter w:w="236" w:type="dxa"/>
          <w:trHeight w:val="341" w:hRule="atLeast"/>
        </w:trPr>
        <w:tc>
          <w:tcPr>
            <w:tcW w:w="15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ascii="宋体" w:hAnsi="宋体" w:cs="宋体"/>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0"/>
                <w:szCs w:val="20"/>
              </w:rPr>
            </w:pPr>
            <w:r>
              <w:rPr>
                <w:rFonts w:hint="eastAsia" w:ascii="宋体" w:hAnsi="宋体" w:cs="宋体"/>
                <w:kern w:val="0"/>
                <w:sz w:val="20"/>
                <w:szCs w:val="20"/>
              </w:rPr>
              <w:t>其他资金</w:t>
            </w:r>
          </w:p>
        </w:tc>
        <w:tc>
          <w:tcPr>
            <w:tcW w:w="23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0"/>
                <w:szCs w:val="20"/>
              </w:rPr>
            </w:pP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0"/>
                <w:szCs w:val="20"/>
              </w:rPr>
            </w:pPr>
            <w:r>
              <w:rPr>
                <w:rFonts w:hint="eastAsia" w:ascii="宋体" w:hAnsi="宋体" w:cs="宋体"/>
                <w:kern w:val="0"/>
                <w:sz w:val="20"/>
                <w:szCs w:val="20"/>
              </w:rPr>
              <w:t>其他资金</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0"/>
                <w:szCs w:val="20"/>
              </w:rPr>
            </w:pPr>
          </w:p>
        </w:tc>
      </w:tr>
      <w:tr>
        <w:tblPrEx>
          <w:tblCellMar>
            <w:top w:w="0" w:type="dxa"/>
            <w:left w:w="108" w:type="dxa"/>
            <w:bottom w:w="0" w:type="dxa"/>
            <w:right w:w="108" w:type="dxa"/>
          </w:tblCellMar>
        </w:tblPrEx>
        <w:trPr>
          <w:gridAfter w:val="1"/>
          <w:wAfter w:w="236" w:type="dxa"/>
          <w:trHeight w:val="217" w:hRule="atLeast"/>
        </w:trPr>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0"/>
                <w:szCs w:val="20"/>
              </w:rPr>
            </w:pPr>
            <w:r>
              <w:rPr>
                <w:rFonts w:hint="eastAsia" w:ascii="宋体" w:hAnsi="宋体" w:cs="宋体"/>
                <w:kern w:val="0"/>
                <w:sz w:val="20"/>
                <w:szCs w:val="20"/>
              </w:rPr>
              <w:t>年度总体目标</w:t>
            </w:r>
          </w:p>
          <w:p>
            <w:pPr>
              <w:widowControl/>
              <w:spacing w:line="320" w:lineRule="exact"/>
              <w:jc w:val="left"/>
              <w:textAlignment w:val="center"/>
              <w:rPr>
                <w:rFonts w:ascii="宋体" w:hAnsi="宋体" w:cs="宋体"/>
                <w:sz w:val="20"/>
                <w:szCs w:val="20"/>
              </w:rPr>
            </w:pPr>
            <w:r>
              <w:rPr>
                <w:rFonts w:hint="eastAsia" w:ascii="宋体" w:hAnsi="宋体" w:cs="宋体"/>
                <w:kern w:val="0"/>
                <w:sz w:val="20"/>
                <w:szCs w:val="20"/>
              </w:rPr>
              <w:t>完成情况</w:t>
            </w:r>
          </w:p>
        </w:tc>
        <w:tc>
          <w:tcPr>
            <w:tcW w:w="41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0"/>
                <w:szCs w:val="20"/>
              </w:rPr>
            </w:pPr>
            <w:r>
              <w:rPr>
                <w:rFonts w:hint="eastAsia" w:ascii="宋体" w:hAnsi="宋体" w:cs="宋体"/>
                <w:kern w:val="0"/>
                <w:sz w:val="20"/>
                <w:szCs w:val="20"/>
              </w:rPr>
              <w:t>预期目标</w:t>
            </w:r>
          </w:p>
        </w:tc>
        <w:tc>
          <w:tcPr>
            <w:tcW w:w="59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0"/>
                <w:szCs w:val="20"/>
              </w:rPr>
            </w:pPr>
            <w:r>
              <w:rPr>
                <w:rFonts w:hint="eastAsia" w:ascii="宋体" w:hAnsi="宋体" w:cs="宋体"/>
                <w:kern w:val="0"/>
                <w:sz w:val="20"/>
                <w:szCs w:val="20"/>
              </w:rPr>
              <w:t>目标实际完成情况</w:t>
            </w:r>
          </w:p>
        </w:tc>
      </w:tr>
      <w:tr>
        <w:tblPrEx>
          <w:tblCellMar>
            <w:top w:w="0" w:type="dxa"/>
            <w:left w:w="108" w:type="dxa"/>
            <w:bottom w:w="0" w:type="dxa"/>
            <w:right w:w="108" w:type="dxa"/>
          </w:tblCellMar>
        </w:tblPrEx>
        <w:trPr>
          <w:gridAfter w:val="1"/>
          <w:wAfter w:w="236" w:type="dxa"/>
          <w:trHeight w:val="797"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ascii="宋体" w:hAnsi="宋体" w:cs="宋体"/>
                <w:sz w:val="20"/>
                <w:szCs w:val="20"/>
              </w:rPr>
            </w:pPr>
          </w:p>
        </w:tc>
        <w:tc>
          <w:tcPr>
            <w:tcW w:w="4111" w:type="dxa"/>
            <w:gridSpan w:val="4"/>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0"/>
                <w:szCs w:val="20"/>
              </w:rPr>
            </w:pPr>
            <w:r>
              <w:rPr>
                <w:rFonts w:hint="eastAsia" w:ascii="宋体" w:hAnsi="宋体" w:cs="宋体"/>
                <w:sz w:val="20"/>
                <w:szCs w:val="20"/>
              </w:rPr>
              <w:t>完成三线文创研发与制作、智能化智慧化改造提升、室外军工文物展示区打造、室内展陈提升和临展厅打造四个子项目。</w:t>
            </w:r>
          </w:p>
        </w:tc>
        <w:tc>
          <w:tcPr>
            <w:tcW w:w="5954"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0"/>
                <w:szCs w:val="20"/>
              </w:rPr>
            </w:pPr>
            <w:r>
              <w:rPr>
                <w:rFonts w:hint="eastAsia" w:ascii="宋体" w:hAnsi="宋体" w:cs="宋体"/>
                <w:sz w:val="20"/>
                <w:szCs w:val="20"/>
              </w:rPr>
              <w:t>完成三线文创研发与制作、智能化智慧化改造提升、室外军工文物展示区打造、室内展陈提升和临展厅打造四个子项目，项目已实施完成，经费未支付完成。</w:t>
            </w:r>
          </w:p>
        </w:tc>
      </w:tr>
      <w:tr>
        <w:tblPrEx>
          <w:tblCellMar>
            <w:top w:w="0" w:type="dxa"/>
            <w:left w:w="108" w:type="dxa"/>
            <w:bottom w:w="0" w:type="dxa"/>
            <w:right w:w="108" w:type="dxa"/>
          </w:tblCellMar>
        </w:tblPrEx>
        <w:trPr>
          <w:gridAfter w:val="1"/>
          <w:wAfter w:w="236" w:type="dxa"/>
          <w:trHeight w:val="693" w:hRule="atLeast"/>
        </w:trPr>
        <w:tc>
          <w:tcPr>
            <w:tcW w:w="851"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仿宋_GB2312"/>
                <w:sz w:val="20"/>
                <w:szCs w:val="20"/>
              </w:rPr>
            </w:pPr>
            <w:r>
              <w:rPr>
                <w:rFonts w:hint="eastAsia" w:ascii="宋体" w:hAnsi="宋体" w:cs="仿宋_GB2312"/>
                <w:kern w:val="0"/>
                <w:sz w:val="20"/>
                <w:szCs w:val="20"/>
              </w:rPr>
              <w:t>年度绩效指标完成情况</w:t>
            </w:r>
          </w:p>
        </w:tc>
        <w:tc>
          <w:tcPr>
            <w:tcW w:w="675"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仿宋_GB2312"/>
                <w:kern w:val="0"/>
                <w:sz w:val="20"/>
                <w:szCs w:val="20"/>
              </w:rPr>
            </w:pPr>
            <w:r>
              <w:rPr>
                <w:rFonts w:hint="eastAsia" w:ascii="宋体" w:hAnsi="宋体" w:cs="仿宋_GB2312"/>
                <w:kern w:val="0"/>
                <w:sz w:val="20"/>
                <w:szCs w:val="20"/>
              </w:rPr>
              <w:t>一级</w:t>
            </w:r>
          </w:p>
          <w:p>
            <w:pPr>
              <w:widowControl/>
              <w:spacing w:line="320" w:lineRule="exact"/>
              <w:jc w:val="left"/>
              <w:textAlignment w:val="center"/>
              <w:rPr>
                <w:rFonts w:ascii="宋体" w:hAnsi="宋体" w:cs="仿宋_GB2312"/>
                <w:sz w:val="20"/>
                <w:szCs w:val="20"/>
              </w:rPr>
            </w:pPr>
            <w:r>
              <w:rPr>
                <w:rFonts w:hint="eastAsia" w:ascii="宋体" w:hAnsi="宋体" w:cs="仿宋_GB2312"/>
                <w:kern w:val="0"/>
                <w:sz w:val="20"/>
                <w:szCs w:val="20"/>
              </w:rPr>
              <w:t>指标</w:t>
            </w:r>
          </w:p>
        </w:tc>
        <w:tc>
          <w:tcPr>
            <w:tcW w:w="11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仿宋_GB2312"/>
                <w:kern w:val="0"/>
                <w:sz w:val="20"/>
                <w:szCs w:val="20"/>
              </w:rPr>
            </w:pPr>
            <w:r>
              <w:rPr>
                <w:rFonts w:hint="eastAsia" w:ascii="宋体" w:hAnsi="宋体" w:cs="仿宋_GB2312"/>
                <w:kern w:val="0"/>
                <w:sz w:val="20"/>
                <w:szCs w:val="20"/>
              </w:rPr>
              <w:t>二级</w:t>
            </w:r>
          </w:p>
          <w:p>
            <w:pPr>
              <w:widowControl/>
              <w:spacing w:line="320" w:lineRule="exact"/>
              <w:jc w:val="left"/>
              <w:textAlignment w:val="center"/>
              <w:rPr>
                <w:rFonts w:ascii="宋体" w:hAnsi="宋体" w:cs="仿宋_GB2312"/>
                <w:sz w:val="20"/>
                <w:szCs w:val="20"/>
              </w:rPr>
            </w:pPr>
            <w:r>
              <w:rPr>
                <w:rFonts w:hint="eastAsia" w:ascii="宋体" w:hAnsi="宋体" w:cs="仿宋_GB2312"/>
                <w:kern w:val="0"/>
                <w:sz w:val="20"/>
                <w:szCs w:val="20"/>
              </w:rPr>
              <w:t>指标</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仿宋_GB2312"/>
                <w:kern w:val="0"/>
                <w:sz w:val="20"/>
                <w:szCs w:val="20"/>
              </w:rPr>
            </w:pPr>
            <w:r>
              <w:rPr>
                <w:rFonts w:hint="eastAsia" w:ascii="宋体" w:hAnsi="宋体" w:cs="仿宋_GB2312"/>
                <w:kern w:val="0"/>
                <w:sz w:val="20"/>
                <w:szCs w:val="20"/>
              </w:rPr>
              <w:t>三级</w:t>
            </w:r>
          </w:p>
          <w:p>
            <w:pPr>
              <w:widowControl/>
              <w:spacing w:line="320" w:lineRule="exact"/>
              <w:jc w:val="left"/>
              <w:textAlignment w:val="center"/>
              <w:rPr>
                <w:rFonts w:ascii="宋体" w:hAnsi="宋体" w:cs="仿宋_GB2312"/>
                <w:sz w:val="20"/>
                <w:szCs w:val="20"/>
              </w:rPr>
            </w:pPr>
            <w:r>
              <w:rPr>
                <w:rFonts w:hint="eastAsia" w:ascii="宋体" w:hAnsi="宋体" w:cs="仿宋_GB2312"/>
                <w:kern w:val="0"/>
                <w:sz w:val="20"/>
                <w:szCs w:val="20"/>
              </w:rPr>
              <w:t>指标</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仿宋_GB2312"/>
                <w:sz w:val="20"/>
                <w:szCs w:val="20"/>
              </w:rPr>
            </w:pPr>
            <w:r>
              <w:rPr>
                <w:rFonts w:hint="eastAsia" w:ascii="宋体" w:hAnsi="宋体" w:cs="仿宋_GB2312"/>
                <w:kern w:val="0"/>
                <w:sz w:val="20"/>
                <w:szCs w:val="20"/>
              </w:rPr>
              <w:t>预期指标值</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仿宋_GB2312"/>
                <w:sz w:val="20"/>
                <w:szCs w:val="20"/>
              </w:rPr>
            </w:pPr>
            <w:r>
              <w:rPr>
                <w:rFonts w:hint="eastAsia" w:ascii="宋体" w:hAnsi="宋体" w:cs="仿宋_GB2312"/>
                <w:kern w:val="0"/>
                <w:sz w:val="20"/>
                <w:szCs w:val="20"/>
              </w:rPr>
              <w:t>实际完成指标值</w:t>
            </w:r>
          </w:p>
        </w:tc>
      </w:tr>
      <w:tr>
        <w:tblPrEx>
          <w:tblCellMar>
            <w:top w:w="0" w:type="dxa"/>
            <w:left w:w="108" w:type="dxa"/>
            <w:bottom w:w="0" w:type="dxa"/>
            <w:right w:w="108" w:type="dxa"/>
          </w:tblCellMar>
        </w:tblPrEx>
        <w:trPr>
          <w:gridAfter w:val="1"/>
          <w:wAfter w:w="236" w:type="dxa"/>
          <w:trHeight w:val="415" w:hRule="atLeast"/>
        </w:trPr>
        <w:tc>
          <w:tcPr>
            <w:tcW w:w="851" w:type="dxa"/>
            <w:vMerge w:val="continue"/>
            <w:tcBorders>
              <w:left w:val="single" w:color="000000" w:sz="4" w:space="0"/>
              <w:right w:val="single" w:color="000000" w:sz="4" w:space="0"/>
            </w:tcBorders>
            <w:shd w:val="clear" w:color="auto" w:fill="auto"/>
            <w:vAlign w:val="center"/>
          </w:tcPr>
          <w:p>
            <w:pPr>
              <w:spacing w:line="320" w:lineRule="exact"/>
              <w:jc w:val="left"/>
              <w:rPr>
                <w:rFonts w:ascii="宋体" w:hAnsi="宋体" w:cs="仿宋_GB2312"/>
                <w:sz w:val="20"/>
                <w:szCs w:val="20"/>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宋体" w:hAnsi="宋体" w:cs="仿宋_GB2312"/>
                <w:kern w:val="0"/>
                <w:sz w:val="20"/>
                <w:szCs w:val="20"/>
              </w:rPr>
            </w:pPr>
            <w:r>
              <w:rPr>
                <w:rFonts w:hint="eastAsia" w:ascii="宋体" w:hAnsi="宋体" w:cs="仿宋_GB2312"/>
                <w:kern w:val="0"/>
                <w:sz w:val="20"/>
                <w:szCs w:val="20"/>
              </w:rPr>
              <w:t>完成</w:t>
            </w:r>
          </w:p>
          <w:p>
            <w:pPr>
              <w:widowControl/>
              <w:spacing w:line="320" w:lineRule="exact"/>
              <w:jc w:val="left"/>
              <w:textAlignment w:val="bottom"/>
              <w:rPr>
                <w:rFonts w:ascii="宋体" w:hAnsi="宋体" w:cs="仿宋_GB2312"/>
                <w:sz w:val="20"/>
                <w:szCs w:val="20"/>
              </w:rPr>
            </w:pPr>
            <w:r>
              <w:rPr>
                <w:rFonts w:hint="eastAsia" w:ascii="宋体" w:hAnsi="宋体" w:cs="仿宋_GB2312"/>
                <w:kern w:val="0"/>
                <w:sz w:val="20"/>
                <w:szCs w:val="20"/>
              </w:rPr>
              <w:t>指标</w:t>
            </w:r>
          </w:p>
        </w:tc>
        <w:tc>
          <w:tcPr>
            <w:tcW w:w="11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ascii="宋体" w:hAnsi="宋体" w:cs="仿宋_GB2312"/>
                <w:sz w:val="20"/>
                <w:szCs w:val="20"/>
              </w:rPr>
            </w:pPr>
            <w:r>
              <w:rPr>
                <w:rFonts w:hint="eastAsia" w:ascii="宋体" w:hAnsi="宋体" w:cs="仿宋_GB2312"/>
                <w:kern w:val="0"/>
                <w:sz w:val="20"/>
                <w:szCs w:val="20"/>
              </w:rPr>
              <w:t>数量指标</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ascii="宋体" w:hAnsi="宋体" w:cs="仿宋_GB2312"/>
                <w:sz w:val="20"/>
                <w:szCs w:val="20"/>
              </w:rPr>
            </w:pPr>
            <w:r>
              <w:rPr>
                <w:rFonts w:hint="eastAsia" w:ascii="宋体" w:hAnsi="宋体" w:cs="仿宋_GB2312"/>
                <w:sz w:val="20"/>
                <w:szCs w:val="20"/>
              </w:rPr>
              <w:t>三线文创研发与制作</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ascii="宋体" w:hAnsi="宋体" w:cs="仿宋_GB2312"/>
                <w:sz w:val="20"/>
                <w:szCs w:val="20"/>
              </w:rPr>
            </w:pPr>
            <w:r>
              <w:rPr>
                <w:rFonts w:hint="eastAsia" w:ascii="宋体" w:hAnsi="宋体" w:cs="仿宋_GB2312"/>
                <w:sz w:val="20"/>
                <w:szCs w:val="20"/>
              </w:rPr>
              <w:t>一套5册创意设计的调整深化，以及攀枝花10种非遗食品包装设计、样品制作等。</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ascii="宋体" w:hAnsi="宋体" w:cs="仿宋_GB2312"/>
                <w:sz w:val="20"/>
                <w:szCs w:val="20"/>
              </w:rPr>
            </w:pPr>
            <w:r>
              <w:rPr>
                <w:rFonts w:hint="eastAsia" w:ascii="宋体" w:hAnsi="宋体" w:cs="仿宋_GB2312"/>
                <w:sz w:val="20"/>
                <w:szCs w:val="20"/>
              </w:rPr>
              <w:t>完成本一套5册创意设计的调整深化，以及攀枝花10种非遗食品包装设计、样品制作等。</w:t>
            </w:r>
          </w:p>
        </w:tc>
      </w:tr>
      <w:tr>
        <w:tblPrEx>
          <w:tblCellMar>
            <w:top w:w="0" w:type="dxa"/>
            <w:left w:w="108" w:type="dxa"/>
            <w:bottom w:w="0" w:type="dxa"/>
            <w:right w:w="108" w:type="dxa"/>
          </w:tblCellMar>
        </w:tblPrEx>
        <w:trPr>
          <w:gridAfter w:val="1"/>
          <w:wAfter w:w="236" w:type="dxa"/>
          <w:trHeight w:val="855" w:hRule="atLeast"/>
        </w:trPr>
        <w:tc>
          <w:tcPr>
            <w:tcW w:w="851" w:type="dxa"/>
            <w:vMerge w:val="continue"/>
            <w:tcBorders>
              <w:left w:val="single" w:color="000000" w:sz="4" w:space="0"/>
              <w:right w:val="single" w:color="000000" w:sz="4" w:space="0"/>
            </w:tcBorders>
            <w:shd w:val="clear" w:color="auto" w:fill="auto"/>
            <w:vAlign w:val="center"/>
          </w:tcPr>
          <w:p>
            <w:pPr>
              <w:spacing w:line="320" w:lineRule="exact"/>
              <w:jc w:val="left"/>
              <w:rPr>
                <w:rFonts w:ascii="宋体" w:hAnsi="宋体" w:cs="仿宋_GB2312"/>
                <w:sz w:val="20"/>
                <w:szCs w:val="20"/>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ascii="宋体" w:hAnsi="宋体" w:cs="仿宋_GB2312"/>
                <w:sz w:val="20"/>
                <w:szCs w:val="20"/>
              </w:rPr>
            </w:pPr>
          </w:p>
        </w:tc>
        <w:tc>
          <w:tcPr>
            <w:tcW w:w="11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ascii="宋体" w:hAnsi="宋体" w:cs="仿宋_GB2312"/>
                <w:sz w:val="20"/>
                <w:szCs w:val="20"/>
              </w:rPr>
            </w:pPr>
            <w:r>
              <w:rPr>
                <w:rFonts w:hint="eastAsia" w:ascii="宋体" w:hAnsi="宋体" w:cs="仿宋_GB2312"/>
                <w:kern w:val="0"/>
                <w:sz w:val="20"/>
                <w:szCs w:val="20"/>
              </w:rPr>
              <w:t>质量指标</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ascii="宋体" w:hAnsi="宋体" w:cs="仿宋_GB2312"/>
                <w:sz w:val="20"/>
                <w:szCs w:val="20"/>
              </w:rPr>
            </w:pPr>
            <w:r>
              <w:rPr>
                <w:rFonts w:hint="eastAsia" w:ascii="宋体" w:hAnsi="宋体" w:cs="仿宋_GB2312"/>
                <w:sz w:val="20"/>
                <w:szCs w:val="20"/>
              </w:rPr>
              <w:t>项目建成，竣工验收合格，运行使用正常</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ascii="宋体" w:hAnsi="宋体" w:cs="仿宋_GB2312"/>
                <w:sz w:val="20"/>
                <w:szCs w:val="20"/>
              </w:rPr>
            </w:pPr>
            <w:r>
              <w:rPr>
                <w:rFonts w:hint="eastAsia" w:ascii="宋体" w:hAnsi="宋体" w:cs="仿宋_GB2312"/>
                <w:sz w:val="20"/>
                <w:szCs w:val="20"/>
              </w:rPr>
              <w:t>项目建成，竣工验收合格，运行使用正常</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ascii="宋体" w:hAnsi="宋体" w:cs="仿宋_GB2312"/>
                <w:sz w:val="20"/>
                <w:szCs w:val="20"/>
              </w:rPr>
            </w:pPr>
            <w:r>
              <w:rPr>
                <w:rFonts w:hint="eastAsia" w:ascii="宋体" w:hAnsi="宋体" w:cs="仿宋_GB2312"/>
                <w:sz w:val="20"/>
                <w:szCs w:val="20"/>
              </w:rPr>
              <w:t>年底四个子项目均已建成并验收合格，使用正常，效果良好</w:t>
            </w:r>
          </w:p>
        </w:tc>
      </w:tr>
      <w:tr>
        <w:tblPrEx>
          <w:tblCellMar>
            <w:top w:w="0" w:type="dxa"/>
            <w:left w:w="108" w:type="dxa"/>
            <w:bottom w:w="0" w:type="dxa"/>
            <w:right w:w="108" w:type="dxa"/>
          </w:tblCellMar>
        </w:tblPrEx>
        <w:trPr>
          <w:gridAfter w:val="1"/>
          <w:wAfter w:w="236" w:type="dxa"/>
          <w:trHeight w:val="415" w:hRule="atLeast"/>
        </w:trPr>
        <w:tc>
          <w:tcPr>
            <w:tcW w:w="851" w:type="dxa"/>
            <w:vMerge w:val="continue"/>
            <w:tcBorders>
              <w:left w:val="single" w:color="000000" w:sz="4" w:space="0"/>
              <w:right w:val="single" w:color="000000" w:sz="4" w:space="0"/>
            </w:tcBorders>
            <w:shd w:val="clear" w:color="auto" w:fill="auto"/>
            <w:vAlign w:val="center"/>
          </w:tcPr>
          <w:p>
            <w:pPr>
              <w:spacing w:line="320" w:lineRule="exact"/>
              <w:jc w:val="left"/>
              <w:rPr>
                <w:rFonts w:ascii="宋体" w:hAnsi="宋体" w:cs="仿宋_GB2312"/>
                <w:sz w:val="20"/>
                <w:szCs w:val="20"/>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ascii="宋体" w:hAnsi="宋体" w:cs="仿宋_GB2312"/>
                <w:sz w:val="20"/>
                <w:szCs w:val="20"/>
              </w:rPr>
            </w:pPr>
          </w:p>
        </w:tc>
        <w:tc>
          <w:tcPr>
            <w:tcW w:w="11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ascii="宋体" w:hAnsi="宋体" w:cs="仿宋_GB2312"/>
                <w:sz w:val="20"/>
                <w:szCs w:val="20"/>
              </w:rPr>
            </w:pPr>
            <w:r>
              <w:rPr>
                <w:rFonts w:hint="eastAsia" w:ascii="宋体" w:hAnsi="宋体" w:cs="仿宋_GB2312"/>
                <w:kern w:val="0"/>
                <w:sz w:val="20"/>
                <w:szCs w:val="20"/>
              </w:rPr>
              <w:t>时效指标</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ascii="宋体" w:hAnsi="宋体" w:cs="仿宋_GB2312"/>
                <w:sz w:val="20"/>
                <w:szCs w:val="20"/>
              </w:rPr>
            </w:pPr>
            <w:r>
              <w:rPr>
                <w:rFonts w:hint="eastAsia" w:ascii="宋体" w:hAnsi="宋体" w:cs="仿宋_GB2312"/>
                <w:sz w:val="20"/>
                <w:szCs w:val="20"/>
              </w:rPr>
              <w:t>2021年</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ascii="宋体" w:hAnsi="宋体" w:cs="仿宋_GB2312"/>
                <w:sz w:val="20"/>
                <w:szCs w:val="20"/>
              </w:rPr>
            </w:pPr>
            <w:r>
              <w:rPr>
                <w:rFonts w:hint="eastAsia" w:ascii="宋体" w:hAnsi="宋体" w:cs="仿宋_GB2312"/>
                <w:sz w:val="20"/>
                <w:szCs w:val="20"/>
              </w:rPr>
              <w:t>2021年前完成</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ascii="宋体" w:hAnsi="宋体" w:cs="仿宋_GB2312"/>
                <w:sz w:val="20"/>
                <w:szCs w:val="20"/>
              </w:rPr>
            </w:pPr>
            <w:r>
              <w:rPr>
                <w:rFonts w:hint="eastAsia" w:ascii="宋体" w:hAnsi="宋体" w:cs="仿宋_GB2312"/>
                <w:sz w:val="20"/>
                <w:szCs w:val="20"/>
              </w:rPr>
              <w:t>年底项目全面建成，尾款待支付</w:t>
            </w:r>
          </w:p>
        </w:tc>
      </w:tr>
      <w:tr>
        <w:tblPrEx>
          <w:tblCellMar>
            <w:top w:w="0" w:type="dxa"/>
            <w:left w:w="108" w:type="dxa"/>
            <w:bottom w:w="0" w:type="dxa"/>
            <w:right w:w="108" w:type="dxa"/>
          </w:tblCellMar>
        </w:tblPrEx>
        <w:trPr>
          <w:gridAfter w:val="1"/>
          <w:wAfter w:w="236" w:type="dxa"/>
          <w:trHeight w:val="480" w:hRule="atLeast"/>
        </w:trPr>
        <w:tc>
          <w:tcPr>
            <w:tcW w:w="851" w:type="dxa"/>
            <w:vMerge w:val="continue"/>
            <w:tcBorders>
              <w:left w:val="single" w:color="000000" w:sz="4" w:space="0"/>
              <w:right w:val="single" w:color="000000" w:sz="4" w:space="0"/>
            </w:tcBorders>
            <w:shd w:val="clear" w:color="auto" w:fill="auto"/>
            <w:vAlign w:val="center"/>
          </w:tcPr>
          <w:p>
            <w:pPr>
              <w:spacing w:line="320" w:lineRule="exact"/>
              <w:jc w:val="left"/>
              <w:rPr>
                <w:rFonts w:ascii="宋体" w:hAnsi="宋体" w:cs="仿宋_GB2312"/>
                <w:sz w:val="20"/>
                <w:szCs w:val="20"/>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ascii="宋体" w:hAnsi="宋体" w:cs="仿宋_GB2312"/>
                <w:sz w:val="20"/>
                <w:szCs w:val="20"/>
              </w:rPr>
            </w:pPr>
          </w:p>
        </w:tc>
        <w:tc>
          <w:tcPr>
            <w:tcW w:w="11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ascii="宋体" w:hAnsi="宋体" w:cs="仿宋_GB2312"/>
                <w:sz w:val="20"/>
                <w:szCs w:val="20"/>
              </w:rPr>
            </w:pPr>
            <w:r>
              <w:rPr>
                <w:rFonts w:hint="eastAsia" w:ascii="宋体" w:hAnsi="宋体" w:cs="仿宋_GB2312"/>
                <w:kern w:val="0"/>
                <w:sz w:val="20"/>
                <w:szCs w:val="20"/>
              </w:rPr>
              <w:t>成本指标</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ascii="宋体" w:hAnsi="宋体" w:cs="仿宋_GB2312"/>
                <w:sz w:val="20"/>
                <w:szCs w:val="20"/>
              </w:rPr>
            </w:pPr>
            <w:r>
              <w:rPr>
                <w:rFonts w:hint="eastAsia" w:ascii="宋体" w:hAnsi="宋体" w:cs="仿宋_GB2312"/>
                <w:sz w:val="20"/>
                <w:szCs w:val="20"/>
              </w:rPr>
              <w:t>四个子项目打造费用</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ascii="宋体" w:hAnsi="宋体" w:cs="仿宋_GB2312"/>
                <w:sz w:val="20"/>
                <w:szCs w:val="20"/>
              </w:rPr>
            </w:pPr>
            <w:r>
              <w:rPr>
                <w:rFonts w:hint="eastAsia" w:ascii="宋体" w:hAnsi="宋体" w:cs="仿宋_GB2312"/>
                <w:sz w:val="20"/>
                <w:szCs w:val="20"/>
              </w:rPr>
              <w:t>600万</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ascii="宋体" w:hAnsi="宋体" w:cs="仿宋_GB2312"/>
                <w:sz w:val="20"/>
                <w:szCs w:val="20"/>
              </w:rPr>
            </w:pPr>
            <w:r>
              <w:rPr>
                <w:rFonts w:hint="eastAsia" w:ascii="宋体" w:hAnsi="宋体" w:cs="仿宋_GB2312"/>
                <w:sz w:val="20"/>
                <w:szCs w:val="20"/>
              </w:rPr>
              <w:t>519.09</w:t>
            </w:r>
          </w:p>
        </w:tc>
      </w:tr>
      <w:tr>
        <w:tblPrEx>
          <w:tblCellMar>
            <w:top w:w="0" w:type="dxa"/>
            <w:left w:w="108" w:type="dxa"/>
            <w:bottom w:w="0" w:type="dxa"/>
            <w:right w:w="108" w:type="dxa"/>
          </w:tblCellMar>
        </w:tblPrEx>
        <w:trPr>
          <w:gridAfter w:val="1"/>
          <w:wAfter w:w="236" w:type="dxa"/>
          <w:trHeight w:val="480" w:hRule="atLeast"/>
        </w:trPr>
        <w:tc>
          <w:tcPr>
            <w:tcW w:w="851" w:type="dxa"/>
            <w:vMerge w:val="continue"/>
            <w:tcBorders>
              <w:left w:val="single" w:color="000000" w:sz="4" w:space="0"/>
              <w:right w:val="single" w:color="000000" w:sz="4" w:space="0"/>
            </w:tcBorders>
            <w:shd w:val="clear" w:color="auto" w:fill="auto"/>
            <w:vAlign w:val="center"/>
          </w:tcPr>
          <w:p>
            <w:pPr>
              <w:spacing w:line="320" w:lineRule="exact"/>
              <w:jc w:val="left"/>
              <w:rPr>
                <w:rFonts w:ascii="宋体" w:hAnsi="宋体" w:cs="仿宋_GB2312"/>
                <w:sz w:val="20"/>
                <w:szCs w:val="20"/>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宋体" w:hAnsi="宋体" w:cs="仿宋_GB2312"/>
                <w:kern w:val="0"/>
                <w:sz w:val="20"/>
                <w:szCs w:val="20"/>
              </w:rPr>
            </w:pPr>
            <w:r>
              <w:rPr>
                <w:rFonts w:hint="eastAsia" w:ascii="宋体" w:hAnsi="宋体" w:cs="仿宋_GB2312"/>
                <w:kern w:val="0"/>
                <w:sz w:val="20"/>
                <w:szCs w:val="20"/>
              </w:rPr>
              <w:t>效益</w:t>
            </w:r>
          </w:p>
          <w:p>
            <w:pPr>
              <w:widowControl/>
              <w:spacing w:line="320" w:lineRule="exact"/>
              <w:jc w:val="left"/>
              <w:textAlignment w:val="bottom"/>
              <w:rPr>
                <w:rFonts w:ascii="宋体" w:hAnsi="宋体" w:cs="仿宋_GB2312"/>
                <w:sz w:val="20"/>
                <w:szCs w:val="20"/>
              </w:rPr>
            </w:pPr>
            <w:r>
              <w:rPr>
                <w:rFonts w:hint="eastAsia" w:ascii="宋体" w:hAnsi="宋体" w:cs="仿宋_GB2312"/>
                <w:kern w:val="0"/>
                <w:sz w:val="20"/>
                <w:szCs w:val="20"/>
              </w:rPr>
              <w:t>指标</w:t>
            </w:r>
          </w:p>
        </w:tc>
        <w:tc>
          <w:tcPr>
            <w:tcW w:w="11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ascii="宋体" w:hAnsi="宋体" w:cs="仿宋_GB2312"/>
                <w:sz w:val="20"/>
                <w:szCs w:val="20"/>
              </w:rPr>
            </w:pPr>
            <w:r>
              <w:rPr>
                <w:rFonts w:hint="eastAsia" w:ascii="宋体" w:hAnsi="宋体" w:cs="仿宋_GB2312"/>
                <w:kern w:val="0"/>
                <w:sz w:val="20"/>
                <w:szCs w:val="20"/>
              </w:rPr>
              <w:t>经济效益  指标</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sz w:val="20"/>
                <w:szCs w:val="20"/>
              </w:rPr>
            </w:pPr>
            <w:r>
              <w:rPr>
                <w:rFonts w:hint="eastAsia" w:ascii="宋体" w:hAnsi="宋体"/>
                <w:sz w:val="20"/>
                <w:szCs w:val="20"/>
              </w:rPr>
              <w:t>带动攀枝花文化旅游经济发展</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sz w:val="20"/>
                <w:szCs w:val="20"/>
              </w:rPr>
            </w:pPr>
            <w:r>
              <w:rPr>
                <w:rFonts w:hint="eastAsia" w:ascii="宋体" w:hAnsi="宋体"/>
                <w:sz w:val="20"/>
                <w:szCs w:val="20"/>
              </w:rPr>
              <w:t>通过项目的实施，为打造三线红色旅游点位打下扎实基础，有效带动了攀枝花文化旅游经济</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sz w:val="20"/>
                <w:szCs w:val="20"/>
              </w:rPr>
            </w:pPr>
            <w:r>
              <w:rPr>
                <w:rFonts w:hint="eastAsia" w:ascii="宋体" w:hAnsi="宋体"/>
                <w:sz w:val="20"/>
                <w:szCs w:val="20"/>
              </w:rPr>
              <w:t>通过项目的实施，为打造三线红色旅游点位打下扎实基础，有效带动了攀枝花文化旅游经济</w:t>
            </w:r>
          </w:p>
        </w:tc>
      </w:tr>
      <w:tr>
        <w:tblPrEx>
          <w:tblCellMar>
            <w:top w:w="0" w:type="dxa"/>
            <w:left w:w="108" w:type="dxa"/>
            <w:bottom w:w="0" w:type="dxa"/>
            <w:right w:w="108" w:type="dxa"/>
          </w:tblCellMar>
        </w:tblPrEx>
        <w:trPr>
          <w:gridAfter w:val="1"/>
          <w:wAfter w:w="236" w:type="dxa"/>
          <w:trHeight w:val="480" w:hRule="atLeast"/>
        </w:trPr>
        <w:tc>
          <w:tcPr>
            <w:tcW w:w="851" w:type="dxa"/>
            <w:vMerge w:val="continue"/>
            <w:tcBorders>
              <w:left w:val="single" w:color="000000" w:sz="4" w:space="0"/>
              <w:right w:val="single" w:color="000000" w:sz="4" w:space="0"/>
            </w:tcBorders>
            <w:shd w:val="clear" w:color="auto" w:fill="auto"/>
            <w:vAlign w:val="center"/>
          </w:tcPr>
          <w:p>
            <w:pPr>
              <w:spacing w:line="320" w:lineRule="exact"/>
              <w:jc w:val="left"/>
              <w:rPr>
                <w:rFonts w:ascii="宋体" w:hAnsi="宋体" w:cs="仿宋_GB2312"/>
                <w:sz w:val="20"/>
                <w:szCs w:val="20"/>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ascii="宋体" w:hAnsi="宋体" w:cs="仿宋_GB2312"/>
                <w:sz w:val="20"/>
                <w:szCs w:val="20"/>
              </w:rPr>
            </w:pPr>
          </w:p>
        </w:tc>
        <w:tc>
          <w:tcPr>
            <w:tcW w:w="11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ascii="宋体" w:hAnsi="宋体" w:cs="仿宋_GB2312"/>
                <w:sz w:val="20"/>
                <w:szCs w:val="20"/>
              </w:rPr>
            </w:pPr>
            <w:r>
              <w:rPr>
                <w:rFonts w:hint="eastAsia" w:ascii="宋体" w:hAnsi="宋体" w:cs="仿宋_GB2312"/>
                <w:kern w:val="0"/>
                <w:sz w:val="20"/>
                <w:szCs w:val="20"/>
              </w:rPr>
              <w:t>社会效益  指标</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sz w:val="20"/>
                <w:szCs w:val="20"/>
              </w:rPr>
            </w:pPr>
            <w:r>
              <w:rPr>
                <w:rFonts w:hint="eastAsia" w:ascii="宋体" w:hAnsi="宋体"/>
                <w:sz w:val="20"/>
                <w:szCs w:val="20"/>
              </w:rPr>
              <w:t>吸引更多观众走进博物馆，让博物馆走进人们的生活。</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r>
              <w:rPr>
                <w:rFonts w:hint="eastAsia" w:ascii="宋体" w:hAnsi="宋体"/>
                <w:color w:val="000000"/>
                <w:sz w:val="20"/>
                <w:szCs w:val="20"/>
              </w:rPr>
              <w:t>年参观人数20万</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sz w:val="20"/>
                <w:szCs w:val="20"/>
              </w:rPr>
            </w:pPr>
            <w:r>
              <w:rPr>
                <w:rFonts w:hint="eastAsia" w:ascii="宋体" w:hAnsi="宋体"/>
                <w:sz w:val="20"/>
                <w:szCs w:val="20"/>
              </w:rPr>
              <w:t>博物馆2021年共接待各类观众1600余批次，23.94万余人次</w:t>
            </w:r>
          </w:p>
        </w:tc>
      </w:tr>
      <w:tr>
        <w:tblPrEx>
          <w:tblCellMar>
            <w:top w:w="0" w:type="dxa"/>
            <w:left w:w="108" w:type="dxa"/>
            <w:bottom w:w="0" w:type="dxa"/>
            <w:right w:w="108" w:type="dxa"/>
          </w:tblCellMar>
        </w:tblPrEx>
        <w:trPr>
          <w:gridAfter w:val="1"/>
          <w:wAfter w:w="236" w:type="dxa"/>
          <w:trHeight w:val="612" w:hRule="atLeast"/>
        </w:trPr>
        <w:tc>
          <w:tcPr>
            <w:tcW w:w="851" w:type="dxa"/>
            <w:vMerge w:val="continue"/>
            <w:tcBorders>
              <w:left w:val="single" w:color="000000" w:sz="4" w:space="0"/>
              <w:right w:val="single" w:color="000000" w:sz="4" w:space="0"/>
            </w:tcBorders>
            <w:shd w:val="clear" w:color="auto" w:fill="auto"/>
            <w:vAlign w:val="center"/>
          </w:tcPr>
          <w:p>
            <w:pPr>
              <w:spacing w:line="320" w:lineRule="exact"/>
              <w:jc w:val="left"/>
              <w:rPr>
                <w:rFonts w:ascii="宋体" w:hAnsi="宋体" w:cs="仿宋_GB2312"/>
                <w:sz w:val="20"/>
                <w:szCs w:val="20"/>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ascii="宋体" w:hAnsi="宋体" w:cs="仿宋_GB2312"/>
                <w:sz w:val="20"/>
                <w:szCs w:val="20"/>
              </w:rPr>
            </w:pPr>
          </w:p>
        </w:tc>
        <w:tc>
          <w:tcPr>
            <w:tcW w:w="11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ascii="宋体" w:hAnsi="宋体" w:cs="仿宋_GB2312"/>
                <w:sz w:val="20"/>
                <w:szCs w:val="20"/>
              </w:rPr>
            </w:pPr>
            <w:r>
              <w:rPr>
                <w:rFonts w:hint="eastAsia" w:ascii="宋体" w:hAnsi="宋体" w:cs="仿宋_GB2312"/>
                <w:kern w:val="0"/>
                <w:sz w:val="20"/>
                <w:szCs w:val="20"/>
              </w:rPr>
              <w:t>生态效益指标</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sz w:val="20"/>
                <w:szCs w:val="20"/>
              </w:rPr>
            </w:pPr>
            <w:r>
              <w:rPr>
                <w:rFonts w:hint="eastAsia" w:ascii="宋体" w:hAnsi="宋体"/>
                <w:sz w:val="20"/>
                <w:szCs w:val="20"/>
              </w:rPr>
              <w:t xml:space="preserve"> 绿化环境良好</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sz w:val="20"/>
                <w:szCs w:val="20"/>
              </w:rPr>
            </w:pPr>
            <w:r>
              <w:rPr>
                <w:rFonts w:hint="eastAsia" w:ascii="宋体" w:hAnsi="宋体"/>
                <w:sz w:val="20"/>
                <w:szCs w:val="20"/>
              </w:rPr>
              <w:t>植被数量多、种类丰富</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sz w:val="20"/>
                <w:szCs w:val="20"/>
              </w:rPr>
            </w:pPr>
            <w:r>
              <w:rPr>
                <w:rFonts w:hint="eastAsia" w:ascii="宋体" w:hAnsi="宋体"/>
                <w:sz w:val="20"/>
                <w:szCs w:val="20"/>
              </w:rPr>
              <w:t>植被数量多、种类丰富</w:t>
            </w:r>
          </w:p>
        </w:tc>
      </w:tr>
      <w:tr>
        <w:tblPrEx>
          <w:tblCellMar>
            <w:top w:w="0" w:type="dxa"/>
            <w:left w:w="108" w:type="dxa"/>
            <w:bottom w:w="0" w:type="dxa"/>
            <w:right w:w="108" w:type="dxa"/>
          </w:tblCellMar>
        </w:tblPrEx>
        <w:trPr>
          <w:gridAfter w:val="1"/>
          <w:wAfter w:w="236" w:type="dxa"/>
          <w:trHeight w:val="1122" w:hRule="atLeast"/>
        </w:trPr>
        <w:tc>
          <w:tcPr>
            <w:tcW w:w="851" w:type="dxa"/>
            <w:vMerge w:val="continue"/>
            <w:tcBorders>
              <w:left w:val="single" w:color="000000" w:sz="4" w:space="0"/>
              <w:right w:val="single" w:color="000000" w:sz="4" w:space="0"/>
            </w:tcBorders>
            <w:shd w:val="clear" w:color="auto" w:fill="auto"/>
            <w:vAlign w:val="center"/>
          </w:tcPr>
          <w:p>
            <w:pPr>
              <w:spacing w:line="320" w:lineRule="exact"/>
              <w:jc w:val="left"/>
              <w:rPr>
                <w:rFonts w:ascii="宋体" w:hAnsi="宋体" w:cs="仿宋_GB2312"/>
                <w:sz w:val="20"/>
                <w:szCs w:val="20"/>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ascii="宋体" w:hAnsi="宋体" w:cs="仿宋_GB2312"/>
                <w:sz w:val="20"/>
                <w:szCs w:val="20"/>
              </w:rPr>
            </w:pPr>
          </w:p>
        </w:tc>
        <w:tc>
          <w:tcPr>
            <w:tcW w:w="11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ascii="宋体" w:hAnsi="宋体" w:cs="仿宋_GB2312"/>
                <w:sz w:val="20"/>
                <w:szCs w:val="20"/>
              </w:rPr>
            </w:pPr>
            <w:r>
              <w:rPr>
                <w:rFonts w:hint="eastAsia" w:ascii="宋体" w:hAnsi="宋体" w:cs="仿宋_GB2312"/>
                <w:kern w:val="0"/>
                <w:sz w:val="20"/>
                <w:szCs w:val="20"/>
              </w:rPr>
              <w:t>可持续影响 指标</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r>
              <w:rPr>
                <w:rFonts w:hint="eastAsia" w:ascii="宋体" w:hAnsi="宋体"/>
                <w:color w:val="000000"/>
                <w:sz w:val="20"/>
                <w:szCs w:val="20"/>
              </w:rPr>
              <w:t>三线历史文化展示和传播途径不断丰富，影响力不断扩大。</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r>
              <w:rPr>
                <w:rFonts w:hint="eastAsia" w:ascii="宋体" w:hAnsi="宋体"/>
                <w:color w:val="000000"/>
                <w:sz w:val="20"/>
                <w:szCs w:val="20"/>
              </w:rPr>
              <w:t>三线历史文化展示和传播途径不断丰富，三线历史文化的影响力不断扩大。</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r>
              <w:rPr>
                <w:rFonts w:hint="eastAsia" w:ascii="宋体" w:hAnsi="宋体"/>
                <w:color w:val="000000"/>
                <w:sz w:val="20"/>
                <w:szCs w:val="20"/>
              </w:rPr>
              <w:t>三线历史文化展示和传播途径不断丰富，三线历史文化的影响力不断扩大。</w:t>
            </w:r>
          </w:p>
        </w:tc>
      </w:tr>
      <w:tr>
        <w:tblPrEx>
          <w:tblCellMar>
            <w:top w:w="0" w:type="dxa"/>
            <w:left w:w="108" w:type="dxa"/>
            <w:bottom w:w="0" w:type="dxa"/>
            <w:right w:w="108" w:type="dxa"/>
          </w:tblCellMar>
        </w:tblPrEx>
        <w:trPr>
          <w:gridAfter w:val="1"/>
          <w:wAfter w:w="236" w:type="dxa"/>
          <w:trHeight w:val="274" w:hRule="atLeast"/>
        </w:trPr>
        <w:tc>
          <w:tcPr>
            <w:tcW w:w="851"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left"/>
              <w:rPr>
                <w:rFonts w:ascii="宋体" w:hAnsi="宋体" w:cs="仿宋_GB2312"/>
                <w:sz w:val="20"/>
                <w:szCs w:val="20"/>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ascii="宋体" w:hAnsi="宋体" w:cs="仿宋_GB2312"/>
                <w:kern w:val="0"/>
                <w:sz w:val="20"/>
                <w:szCs w:val="20"/>
              </w:rPr>
            </w:pPr>
            <w:r>
              <w:rPr>
                <w:rFonts w:hint="eastAsia" w:ascii="宋体" w:hAnsi="宋体" w:cs="仿宋_GB2312"/>
                <w:kern w:val="0"/>
                <w:sz w:val="20"/>
                <w:szCs w:val="20"/>
              </w:rPr>
              <w:t>满意</w:t>
            </w:r>
          </w:p>
          <w:p>
            <w:pPr>
              <w:widowControl/>
              <w:spacing w:line="320" w:lineRule="exact"/>
              <w:jc w:val="left"/>
              <w:textAlignment w:val="bottom"/>
              <w:rPr>
                <w:rFonts w:ascii="宋体" w:hAnsi="宋体" w:cs="仿宋_GB2312"/>
                <w:sz w:val="20"/>
                <w:szCs w:val="20"/>
              </w:rPr>
            </w:pPr>
            <w:r>
              <w:rPr>
                <w:rFonts w:hint="eastAsia" w:ascii="宋体" w:hAnsi="宋体" w:cs="仿宋_GB2312"/>
                <w:kern w:val="0"/>
                <w:sz w:val="20"/>
                <w:szCs w:val="20"/>
              </w:rPr>
              <w:t>度指标</w:t>
            </w:r>
          </w:p>
        </w:tc>
        <w:tc>
          <w:tcPr>
            <w:tcW w:w="11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ascii="宋体" w:hAnsi="宋体" w:cs="仿宋_GB2312"/>
                <w:kern w:val="0"/>
                <w:sz w:val="20"/>
                <w:szCs w:val="20"/>
              </w:rPr>
            </w:pPr>
            <w:r>
              <w:rPr>
                <w:rFonts w:hint="eastAsia" w:ascii="宋体" w:hAnsi="宋体" w:cs="仿宋_GB2312"/>
                <w:kern w:val="0"/>
                <w:sz w:val="20"/>
                <w:szCs w:val="20"/>
              </w:rPr>
              <w:t>满意度</w:t>
            </w:r>
          </w:p>
          <w:p>
            <w:pPr>
              <w:widowControl/>
              <w:spacing w:line="320" w:lineRule="exact"/>
              <w:jc w:val="left"/>
              <w:textAlignment w:val="bottom"/>
              <w:rPr>
                <w:rFonts w:ascii="宋体" w:hAnsi="宋体" w:cs="仿宋_GB2312"/>
                <w:sz w:val="20"/>
                <w:szCs w:val="20"/>
              </w:rPr>
            </w:pPr>
            <w:r>
              <w:rPr>
                <w:rFonts w:hint="eastAsia" w:ascii="宋体" w:hAnsi="宋体" w:cs="仿宋_GB2312"/>
                <w:kern w:val="0"/>
                <w:sz w:val="20"/>
                <w:szCs w:val="20"/>
              </w:rPr>
              <w:t>指标</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ascii="宋体" w:hAnsi="宋体" w:cs="仿宋_GB2312"/>
                <w:sz w:val="20"/>
                <w:szCs w:val="20"/>
              </w:rPr>
            </w:pPr>
            <w:r>
              <w:rPr>
                <w:rFonts w:hint="eastAsia" w:ascii="宋体" w:hAnsi="宋体" w:cs="仿宋_GB2312"/>
                <w:sz w:val="20"/>
                <w:szCs w:val="20"/>
              </w:rPr>
              <w:t>观众满意度</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ascii="宋体" w:hAnsi="宋体" w:cs="仿宋_GB2312"/>
                <w:sz w:val="20"/>
                <w:szCs w:val="20"/>
              </w:rPr>
            </w:pPr>
            <w:r>
              <w:rPr>
                <w:rFonts w:hint="eastAsia" w:ascii="宋体" w:hAnsi="宋体" w:cs="仿宋_GB2312"/>
                <w:sz w:val="20"/>
                <w:szCs w:val="20"/>
              </w:rPr>
              <w:t>满意90%，基本满意5%</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ascii="宋体" w:hAnsi="宋体" w:cs="仿宋_GB2312"/>
                <w:sz w:val="20"/>
                <w:szCs w:val="20"/>
              </w:rPr>
            </w:pPr>
            <w:r>
              <w:rPr>
                <w:rFonts w:hint="eastAsia" w:ascii="宋体" w:hAnsi="宋体" w:cs="仿宋_GB2312"/>
                <w:sz w:val="20"/>
                <w:szCs w:val="20"/>
              </w:rPr>
              <w:t>满意92%，基本满意6%</w:t>
            </w:r>
          </w:p>
        </w:tc>
      </w:tr>
    </w:tbl>
    <w:p>
      <w:pPr>
        <w:spacing w:line="600" w:lineRule="exact"/>
        <w:jc w:val="center"/>
        <w:rPr>
          <w:rFonts w:ascii="黑体" w:hAnsi="黑体" w:eastAsia="黑体"/>
          <w:sz w:val="20"/>
          <w:szCs w:val="20"/>
        </w:rPr>
      </w:pPr>
    </w:p>
    <w:p>
      <w:pPr>
        <w:spacing w:line="600" w:lineRule="exact"/>
        <w:rPr>
          <w:rFonts w:ascii="黑体" w:hAnsi="黑体" w:eastAsia="黑体"/>
          <w:sz w:val="44"/>
          <w:szCs w:val="44"/>
        </w:rPr>
      </w:pPr>
    </w:p>
    <w:tbl>
      <w:tblPr>
        <w:tblStyle w:val="12"/>
        <w:tblpPr w:leftFromText="180" w:rightFromText="180" w:vertAnchor="text" w:horzAnchor="page" w:tblpX="822" w:tblpY="660"/>
        <w:tblOverlap w:val="never"/>
        <w:tblW w:w="10726" w:type="dxa"/>
        <w:tblInd w:w="0" w:type="dxa"/>
        <w:tblLayout w:type="fixed"/>
        <w:tblCellMar>
          <w:top w:w="0" w:type="dxa"/>
          <w:left w:w="108" w:type="dxa"/>
          <w:bottom w:w="0" w:type="dxa"/>
          <w:right w:w="108" w:type="dxa"/>
        </w:tblCellMar>
      </w:tblPr>
      <w:tblGrid>
        <w:gridCol w:w="675"/>
        <w:gridCol w:w="993"/>
        <w:gridCol w:w="1134"/>
        <w:gridCol w:w="2551"/>
        <w:gridCol w:w="2272"/>
        <w:gridCol w:w="2865"/>
        <w:gridCol w:w="236"/>
      </w:tblGrid>
      <w:tr>
        <w:tblPrEx>
          <w:tblCellMar>
            <w:top w:w="0" w:type="dxa"/>
            <w:left w:w="108" w:type="dxa"/>
            <w:bottom w:w="0" w:type="dxa"/>
            <w:right w:w="108" w:type="dxa"/>
          </w:tblCellMar>
        </w:tblPrEx>
        <w:trPr>
          <w:trHeight w:val="675" w:hRule="atLeast"/>
        </w:trPr>
        <w:tc>
          <w:tcPr>
            <w:tcW w:w="10490" w:type="dxa"/>
            <w:gridSpan w:val="6"/>
            <w:tcBorders>
              <w:top w:val="nil"/>
              <w:left w:val="nil"/>
              <w:bottom w:val="nil"/>
              <w:right w:val="nil"/>
            </w:tcBorders>
            <w:shd w:val="clear" w:color="auto" w:fill="auto"/>
            <w:vAlign w:val="center"/>
          </w:tcPr>
          <w:p>
            <w:pPr>
              <w:widowControl/>
              <w:jc w:val="center"/>
              <w:textAlignment w:val="center"/>
              <w:rPr>
                <w:rFonts w:ascii="宋体" w:hAnsi="宋体" w:cs="宋体"/>
                <w:b/>
                <w:sz w:val="32"/>
                <w:szCs w:val="32"/>
              </w:rPr>
            </w:pPr>
            <w:r>
              <w:rPr>
                <w:rFonts w:hint="eastAsia" w:ascii="宋体" w:hAnsi="宋体" w:cs="宋体"/>
                <w:b/>
                <w:sz w:val="32"/>
                <w:szCs w:val="32"/>
              </w:rPr>
              <w:t>2019年省级科普基地专项资金项目绩效目标自评</w:t>
            </w:r>
          </w:p>
        </w:tc>
        <w:tc>
          <w:tcPr>
            <w:tcW w:w="236"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rPr>
            </w:pPr>
          </w:p>
        </w:tc>
      </w:tr>
      <w:tr>
        <w:tblPrEx>
          <w:tblCellMar>
            <w:top w:w="0" w:type="dxa"/>
            <w:left w:w="108" w:type="dxa"/>
            <w:bottom w:w="0" w:type="dxa"/>
            <w:right w:w="108" w:type="dxa"/>
          </w:tblCellMar>
        </w:tblPrEx>
        <w:trPr>
          <w:gridAfter w:val="1"/>
          <w:wAfter w:w="236" w:type="dxa"/>
          <w:trHeight w:val="254" w:hRule="atLeast"/>
        </w:trPr>
        <w:tc>
          <w:tcPr>
            <w:tcW w:w="1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主管部门及代码</w:t>
            </w:r>
          </w:p>
        </w:tc>
        <w:tc>
          <w:tcPr>
            <w:tcW w:w="36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205001－攀枝花市文化广播电视和旅游局</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实施单位</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攀枝花中国三线建设博物馆</w:t>
            </w:r>
          </w:p>
        </w:tc>
      </w:tr>
      <w:tr>
        <w:tblPrEx>
          <w:tblCellMar>
            <w:top w:w="0" w:type="dxa"/>
            <w:left w:w="108" w:type="dxa"/>
            <w:bottom w:w="0" w:type="dxa"/>
            <w:right w:w="108" w:type="dxa"/>
          </w:tblCellMar>
        </w:tblPrEx>
        <w:trPr>
          <w:gridAfter w:val="1"/>
          <w:wAfter w:w="236" w:type="dxa"/>
          <w:trHeight w:val="341" w:hRule="atLeast"/>
        </w:trPr>
        <w:tc>
          <w:tcPr>
            <w:tcW w:w="1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项目预算</w:t>
            </w:r>
          </w:p>
          <w:p>
            <w:pPr>
              <w:widowControl/>
              <w:spacing w:line="320" w:lineRule="exact"/>
              <w:jc w:val="left"/>
              <w:textAlignment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执行情况</w:t>
            </w:r>
          </w:p>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（万元）</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 xml:space="preserve"> 预算数：</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50</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 xml:space="preserve"> 执行数：</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48.3</w:t>
            </w:r>
          </w:p>
        </w:tc>
      </w:tr>
      <w:tr>
        <w:tblPrEx>
          <w:tblCellMar>
            <w:top w:w="0" w:type="dxa"/>
            <w:left w:w="108" w:type="dxa"/>
            <w:bottom w:w="0" w:type="dxa"/>
            <w:right w:w="108" w:type="dxa"/>
          </w:tblCellMar>
        </w:tblPrEx>
        <w:trPr>
          <w:gridAfter w:val="1"/>
          <w:wAfter w:w="236" w:type="dxa"/>
          <w:trHeight w:val="555" w:hRule="atLeast"/>
        </w:trPr>
        <w:tc>
          <w:tcPr>
            <w:tcW w:w="16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cs="宋体" w:asciiTheme="minorEastAsia" w:hAnsiTheme="minorEastAsia" w:eastAsiaTheme="minorEastAsia"/>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其中：</w:t>
            </w:r>
          </w:p>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财政拨款</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50</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其中：</w:t>
            </w:r>
          </w:p>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财政拨款</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48.3</w:t>
            </w:r>
          </w:p>
        </w:tc>
      </w:tr>
      <w:tr>
        <w:tblPrEx>
          <w:tblCellMar>
            <w:top w:w="0" w:type="dxa"/>
            <w:left w:w="108" w:type="dxa"/>
            <w:bottom w:w="0" w:type="dxa"/>
            <w:right w:w="108" w:type="dxa"/>
          </w:tblCellMar>
        </w:tblPrEx>
        <w:trPr>
          <w:gridAfter w:val="1"/>
          <w:wAfter w:w="236" w:type="dxa"/>
          <w:trHeight w:val="341" w:hRule="atLeast"/>
        </w:trPr>
        <w:tc>
          <w:tcPr>
            <w:tcW w:w="16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cs="宋体" w:asciiTheme="minorEastAsia" w:hAnsiTheme="minorEastAsia" w:eastAsiaTheme="minorEastAsia"/>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其他资金</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其他资金</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p>
        </w:tc>
      </w:tr>
      <w:tr>
        <w:tblPrEx>
          <w:tblCellMar>
            <w:top w:w="0" w:type="dxa"/>
            <w:left w:w="108" w:type="dxa"/>
            <w:bottom w:w="0" w:type="dxa"/>
            <w:right w:w="108" w:type="dxa"/>
          </w:tblCellMar>
        </w:tblPrEx>
        <w:trPr>
          <w:gridAfter w:val="1"/>
          <w:wAfter w:w="236" w:type="dxa"/>
          <w:trHeight w:val="217"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年度总体目标</w:t>
            </w:r>
          </w:p>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完成情况</w:t>
            </w:r>
          </w:p>
        </w:tc>
        <w:tc>
          <w:tcPr>
            <w:tcW w:w="46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预期目标</w:t>
            </w:r>
          </w:p>
        </w:tc>
        <w:tc>
          <w:tcPr>
            <w:tcW w:w="51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目标实际完成情况</w:t>
            </w:r>
          </w:p>
        </w:tc>
      </w:tr>
      <w:tr>
        <w:tblPrEx>
          <w:tblCellMar>
            <w:top w:w="0" w:type="dxa"/>
            <w:left w:w="108" w:type="dxa"/>
            <w:bottom w:w="0" w:type="dxa"/>
            <w:right w:w="108" w:type="dxa"/>
          </w:tblCellMar>
        </w:tblPrEx>
        <w:trPr>
          <w:gridAfter w:val="1"/>
          <w:wAfter w:w="236" w:type="dxa"/>
          <w:trHeight w:val="797"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cs="宋体" w:asciiTheme="minorEastAsia" w:hAnsiTheme="minorEastAsia" w:eastAsiaTheme="minorEastAsia"/>
                <w:sz w:val="20"/>
                <w:szCs w:val="20"/>
              </w:rPr>
            </w:pPr>
          </w:p>
        </w:tc>
        <w:tc>
          <w:tcPr>
            <w:tcW w:w="4678"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依托本项目进一步提升完善博物馆软硬件设施，组建相对稳定的科普人才队伍，创新科普方式，提高博物馆科普能力与宣传效能。</w:t>
            </w:r>
          </w:p>
        </w:tc>
        <w:tc>
          <w:tcPr>
            <w:tcW w:w="5137"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提升完善馆内科普环境，增强了科普效果；充分利用博物馆科普阵地，完成科普培训与人才培养任务。</w:t>
            </w:r>
          </w:p>
        </w:tc>
      </w:tr>
      <w:tr>
        <w:tblPrEx>
          <w:tblCellMar>
            <w:top w:w="0" w:type="dxa"/>
            <w:left w:w="108" w:type="dxa"/>
            <w:bottom w:w="0" w:type="dxa"/>
            <w:right w:w="108" w:type="dxa"/>
          </w:tblCellMar>
        </w:tblPrEx>
        <w:trPr>
          <w:gridAfter w:val="1"/>
          <w:wAfter w:w="236" w:type="dxa"/>
          <w:trHeight w:val="693" w:hRule="atLeast"/>
        </w:trPr>
        <w:tc>
          <w:tcPr>
            <w:tcW w:w="675"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left"/>
              <w:textAlignment w:val="center"/>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年度绩效指标完成情况</w:t>
            </w:r>
          </w:p>
        </w:tc>
        <w:tc>
          <w:tcPr>
            <w:tcW w:w="993"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left"/>
              <w:textAlignment w:val="center"/>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一级</w:t>
            </w:r>
          </w:p>
          <w:p>
            <w:pPr>
              <w:widowControl/>
              <w:spacing w:line="320" w:lineRule="exact"/>
              <w:jc w:val="left"/>
              <w:textAlignment w:val="center"/>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指标</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二级</w:t>
            </w:r>
          </w:p>
          <w:p>
            <w:pPr>
              <w:widowControl/>
              <w:spacing w:line="320" w:lineRule="exact"/>
              <w:jc w:val="left"/>
              <w:textAlignment w:val="center"/>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指标</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三级</w:t>
            </w:r>
          </w:p>
          <w:p>
            <w:pPr>
              <w:widowControl/>
              <w:spacing w:line="320" w:lineRule="exact"/>
              <w:jc w:val="left"/>
              <w:textAlignment w:val="center"/>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指标</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预期指标值</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实际完成指标值</w:t>
            </w:r>
          </w:p>
        </w:tc>
      </w:tr>
      <w:tr>
        <w:tblPrEx>
          <w:tblCellMar>
            <w:top w:w="0" w:type="dxa"/>
            <w:left w:w="108" w:type="dxa"/>
            <w:bottom w:w="0" w:type="dxa"/>
            <w:right w:w="108" w:type="dxa"/>
          </w:tblCellMar>
        </w:tblPrEx>
        <w:trPr>
          <w:gridAfter w:val="1"/>
          <w:wAfter w:w="236" w:type="dxa"/>
          <w:trHeight w:val="415" w:hRule="atLeast"/>
        </w:trPr>
        <w:tc>
          <w:tcPr>
            <w:tcW w:w="675"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完成</w:t>
            </w:r>
          </w:p>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指标</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数量指标</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增设科普一体机，培养科普人才，开展科普培训与实践活动</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科普一体机一台，科普人才不低于50人，开展培训与实践活动三次</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购置一台科普一体机，现有科普人才60人，开展科普培训与实践活动三次</w:t>
            </w:r>
          </w:p>
        </w:tc>
      </w:tr>
      <w:tr>
        <w:tblPrEx>
          <w:tblCellMar>
            <w:top w:w="0" w:type="dxa"/>
            <w:left w:w="108" w:type="dxa"/>
            <w:bottom w:w="0" w:type="dxa"/>
            <w:right w:w="108" w:type="dxa"/>
          </w:tblCellMar>
        </w:tblPrEx>
        <w:trPr>
          <w:gridAfter w:val="1"/>
          <w:wAfter w:w="236" w:type="dxa"/>
          <w:trHeight w:val="415" w:hRule="atLeast"/>
        </w:trPr>
        <w:tc>
          <w:tcPr>
            <w:tcW w:w="675"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cs="仿宋_GB2312" w:asciiTheme="minorEastAsia" w:hAnsiTheme="minorEastAsia" w:eastAsiaTheme="minorEastAsia"/>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质量指标</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项目完成效果</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囊括各类学科资源，满足科普需要；满足长远发展，具有优秀业务素质与能力；实践效果良好，科普效果突出</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囊括文物学、博物馆学及各学科、领域数字资源，满足科普需要；培养的科普人才业务素质过硬，获得一致好评；达到良好科普效果，社会各界评价良好</w:t>
            </w:r>
          </w:p>
        </w:tc>
      </w:tr>
      <w:tr>
        <w:tblPrEx>
          <w:tblCellMar>
            <w:top w:w="0" w:type="dxa"/>
            <w:left w:w="108" w:type="dxa"/>
            <w:bottom w:w="0" w:type="dxa"/>
            <w:right w:w="108" w:type="dxa"/>
          </w:tblCellMar>
        </w:tblPrEx>
        <w:trPr>
          <w:gridAfter w:val="1"/>
          <w:wAfter w:w="236" w:type="dxa"/>
          <w:trHeight w:val="415" w:hRule="atLeast"/>
        </w:trPr>
        <w:tc>
          <w:tcPr>
            <w:tcW w:w="675"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cs="仿宋_GB2312" w:asciiTheme="minorEastAsia" w:hAnsiTheme="minorEastAsia" w:eastAsiaTheme="minorEastAsia"/>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时效指标</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项目完成时间</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2021年</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项目已全部建成，尾款未支付</w:t>
            </w:r>
          </w:p>
        </w:tc>
      </w:tr>
      <w:tr>
        <w:tblPrEx>
          <w:tblCellMar>
            <w:top w:w="0" w:type="dxa"/>
            <w:left w:w="108" w:type="dxa"/>
            <w:bottom w:w="0" w:type="dxa"/>
            <w:right w:w="108" w:type="dxa"/>
          </w:tblCellMar>
        </w:tblPrEx>
        <w:trPr>
          <w:gridAfter w:val="1"/>
          <w:wAfter w:w="236" w:type="dxa"/>
          <w:trHeight w:val="480" w:hRule="atLeast"/>
        </w:trPr>
        <w:tc>
          <w:tcPr>
            <w:tcW w:w="675"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cs="仿宋_GB2312" w:asciiTheme="minorEastAsia" w:hAnsiTheme="minorEastAsia" w:eastAsiaTheme="minorEastAsia"/>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成本指标</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项目打造费用</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50万</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48.3万</w:t>
            </w:r>
          </w:p>
        </w:tc>
      </w:tr>
      <w:tr>
        <w:tblPrEx>
          <w:tblCellMar>
            <w:top w:w="0" w:type="dxa"/>
            <w:left w:w="108" w:type="dxa"/>
            <w:bottom w:w="0" w:type="dxa"/>
            <w:right w:w="108" w:type="dxa"/>
          </w:tblCellMar>
        </w:tblPrEx>
        <w:trPr>
          <w:gridAfter w:val="1"/>
          <w:wAfter w:w="236" w:type="dxa"/>
          <w:trHeight w:val="480" w:hRule="atLeast"/>
        </w:trPr>
        <w:tc>
          <w:tcPr>
            <w:tcW w:w="675"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效益</w:t>
            </w:r>
          </w:p>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指标</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经济效益指标</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p>
        </w:tc>
      </w:tr>
      <w:tr>
        <w:tblPrEx>
          <w:tblCellMar>
            <w:top w:w="0" w:type="dxa"/>
            <w:left w:w="108" w:type="dxa"/>
            <w:bottom w:w="0" w:type="dxa"/>
            <w:right w:w="108" w:type="dxa"/>
          </w:tblCellMar>
        </w:tblPrEx>
        <w:trPr>
          <w:gridAfter w:val="1"/>
          <w:wAfter w:w="236" w:type="dxa"/>
          <w:trHeight w:val="480" w:hRule="atLeast"/>
        </w:trPr>
        <w:tc>
          <w:tcPr>
            <w:tcW w:w="675"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cs="仿宋_GB2312" w:asciiTheme="minorEastAsia" w:hAnsiTheme="minorEastAsia" w:eastAsiaTheme="minorEastAsia"/>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社会效益指标</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吸引更多的观众走进博物馆，了解三线历史文化</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20万参观人数</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接待游客23.94万人</w:t>
            </w:r>
          </w:p>
          <w:p>
            <w:pPr>
              <w:widowControl/>
              <w:spacing w:line="320" w:lineRule="exact"/>
              <w:jc w:val="left"/>
              <w:textAlignment w:val="bottom"/>
              <w:rPr>
                <w:rFonts w:cs="仿宋_GB2312" w:asciiTheme="minorEastAsia" w:hAnsiTheme="minorEastAsia" w:eastAsiaTheme="minorEastAsia"/>
                <w:sz w:val="20"/>
                <w:szCs w:val="20"/>
              </w:rPr>
            </w:pPr>
          </w:p>
        </w:tc>
      </w:tr>
      <w:tr>
        <w:tblPrEx>
          <w:tblCellMar>
            <w:top w:w="0" w:type="dxa"/>
            <w:left w:w="108" w:type="dxa"/>
            <w:bottom w:w="0" w:type="dxa"/>
            <w:right w:w="108" w:type="dxa"/>
          </w:tblCellMar>
        </w:tblPrEx>
        <w:trPr>
          <w:gridAfter w:val="1"/>
          <w:wAfter w:w="236" w:type="dxa"/>
          <w:trHeight w:val="577" w:hRule="atLeast"/>
        </w:trPr>
        <w:tc>
          <w:tcPr>
            <w:tcW w:w="675"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cs="仿宋_GB2312" w:asciiTheme="minorEastAsia" w:hAnsiTheme="minorEastAsia" w:eastAsiaTheme="minorEastAsia"/>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生态效益指标</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提升博物馆整体展陈品质和效果，增加了参观的趣味性与特色性</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具备良好科普环境，达到良好科普效果</w:t>
            </w:r>
          </w:p>
          <w:p>
            <w:pPr>
              <w:widowControl/>
              <w:spacing w:line="320" w:lineRule="exact"/>
              <w:jc w:val="left"/>
              <w:textAlignment w:val="bottom"/>
              <w:rPr>
                <w:rFonts w:cs="仿宋_GB2312" w:asciiTheme="minorEastAsia" w:hAnsiTheme="minorEastAsia" w:eastAsiaTheme="minorEastAsia"/>
                <w:sz w:val="20"/>
                <w:szCs w:val="20"/>
              </w:rPr>
            </w:pP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具备良好科普环境，达到良好科普效果</w:t>
            </w:r>
          </w:p>
          <w:p>
            <w:pPr>
              <w:widowControl/>
              <w:spacing w:line="320" w:lineRule="exact"/>
              <w:jc w:val="left"/>
              <w:textAlignment w:val="bottom"/>
              <w:rPr>
                <w:rFonts w:cs="仿宋_GB2312" w:asciiTheme="minorEastAsia" w:hAnsiTheme="minorEastAsia" w:eastAsiaTheme="minorEastAsia"/>
                <w:sz w:val="20"/>
                <w:szCs w:val="20"/>
              </w:rPr>
            </w:pPr>
          </w:p>
        </w:tc>
      </w:tr>
      <w:tr>
        <w:tblPrEx>
          <w:tblCellMar>
            <w:top w:w="0" w:type="dxa"/>
            <w:left w:w="108" w:type="dxa"/>
            <w:bottom w:w="0" w:type="dxa"/>
            <w:right w:w="108" w:type="dxa"/>
          </w:tblCellMar>
        </w:tblPrEx>
        <w:trPr>
          <w:gridAfter w:val="1"/>
          <w:wAfter w:w="236" w:type="dxa"/>
          <w:trHeight w:val="480" w:hRule="atLeast"/>
        </w:trPr>
        <w:tc>
          <w:tcPr>
            <w:tcW w:w="675"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cs="仿宋_GB2312" w:asciiTheme="minorEastAsia" w:hAnsiTheme="minorEastAsia" w:eastAsiaTheme="minorEastAsia"/>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可持续影响指标</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进一步提升博物馆公共服务水平，满足广大群众更高、更多样化的文化需求</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通过软硬件建设，满足观众多样化科普与文化需求　</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通过软硬件建设，满足观众多样化科普与文化需求</w:t>
            </w:r>
          </w:p>
        </w:tc>
      </w:tr>
      <w:tr>
        <w:tblPrEx>
          <w:tblCellMar>
            <w:top w:w="0" w:type="dxa"/>
            <w:left w:w="108" w:type="dxa"/>
            <w:bottom w:w="0" w:type="dxa"/>
            <w:right w:w="108" w:type="dxa"/>
          </w:tblCellMar>
        </w:tblPrEx>
        <w:trPr>
          <w:gridAfter w:val="1"/>
          <w:wAfter w:w="236" w:type="dxa"/>
          <w:trHeight w:val="530" w:hRule="atLeast"/>
        </w:trPr>
        <w:tc>
          <w:tcPr>
            <w:tcW w:w="675"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满意</w:t>
            </w:r>
          </w:p>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度指标</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满意度</w:t>
            </w:r>
          </w:p>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指标</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观众满意度指标</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95%以上</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观众满意度达到98%</w:t>
            </w:r>
          </w:p>
        </w:tc>
      </w:tr>
    </w:tbl>
    <w:p>
      <w:pPr>
        <w:spacing w:line="600" w:lineRule="exact"/>
        <w:jc w:val="center"/>
        <w:outlineLvl w:val="0"/>
        <w:rPr>
          <w:rFonts w:ascii="黑体" w:hAnsi="黑体" w:eastAsia="黑体"/>
          <w:sz w:val="44"/>
          <w:szCs w:val="44"/>
        </w:rPr>
      </w:pPr>
    </w:p>
    <w:p>
      <w:pPr>
        <w:spacing w:line="600" w:lineRule="exact"/>
        <w:outlineLvl w:val="0"/>
        <w:rPr>
          <w:rFonts w:ascii="黑体" w:hAnsi="黑体" w:eastAsia="黑体"/>
          <w:sz w:val="44"/>
          <w:szCs w:val="44"/>
        </w:rPr>
      </w:pPr>
    </w:p>
    <w:tbl>
      <w:tblPr>
        <w:tblStyle w:val="12"/>
        <w:tblpPr w:leftFromText="180" w:rightFromText="180" w:vertAnchor="text" w:horzAnchor="page" w:tblpX="963" w:tblpY="660"/>
        <w:tblOverlap w:val="never"/>
        <w:tblW w:w="10409" w:type="dxa"/>
        <w:tblInd w:w="0" w:type="dxa"/>
        <w:tblLayout w:type="fixed"/>
        <w:tblCellMar>
          <w:top w:w="0" w:type="dxa"/>
          <w:left w:w="108" w:type="dxa"/>
          <w:bottom w:w="0" w:type="dxa"/>
          <w:right w:w="108" w:type="dxa"/>
        </w:tblCellMar>
      </w:tblPr>
      <w:tblGrid>
        <w:gridCol w:w="1101"/>
        <w:gridCol w:w="850"/>
        <w:gridCol w:w="1134"/>
        <w:gridCol w:w="2835"/>
        <w:gridCol w:w="2126"/>
        <w:gridCol w:w="2127"/>
        <w:gridCol w:w="236"/>
      </w:tblGrid>
      <w:tr>
        <w:tblPrEx>
          <w:tblCellMar>
            <w:top w:w="0" w:type="dxa"/>
            <w:left w:w="108" w:type="dxa"/>
            <w:bottom w:w="0" w:type="dxa"/>
            <w:right w:w="108" w:type="dxa"/>
          </w:tblCellMar>
        </w:tblPrEx>
        <w:trPr>
          <w:trHeight w:val="675" w:hRule="atLeast"/>
        </w:trPr>
        <w:tc>
          <w:tcPr>
            <w:tcW w:w="10173" w:type="dxa"/>
            <w:gridSpan w:val="6"/>
            <w:tcBorders>
              <w:top w:val="nil"/>
              <w:left w:val="nil"/>
              <w:bottom w:val="nil"/>
              <w:right w:val="nil"/>
            </w:tcBorders>
            <w:shd w:val="clear" w:color="auto" w:fill="auto"/>
            <w:vAlign w:val="center"/>
          </w:tcPr>
          <w:p>
            <w:pPr>
              <w:widowControl/>
              <w:textAlignment w:val="center"/>
              <w:rPr>
                <w:rFonts w:ascii="宋体" w:hAnsi="宋体" w:cs="宋体"/>
                <w:b/>
                <w:sz w:val="32"/>
                <w:szCs w:val="32"/>
              </w:rPr>
            </w:pPr>
          </w:p>
          <w:p>
            <w:pPr>
              <w:widowControl/>
              <w:jc w:val="center"/>
              <w:textAlignment w:val="center"/>
              <w:rPr>
                <w:rFonts w:ascii="宋体" w:hAnsi="宋体" w:cs="宋体"/>
                <w:b/>
                <w:sz w:val="32"/>
                <w:szCs w:val="32"/>
              </w:rPr>
            </w:pPr>
            <w:r>
              <w:rPr>
                <w:rFonts w:hint="eastAsia" w:ascii="宋体" w:hAnsi="宋体" w:cs="宋体"/>
                <w:b/>
                <w:sz w:val="32"/>
                <w:szCs w:val="32"/>
              </w:rPr>
              <w:t>2019年省级宣传文化资金项目绩效目标自评</w:t>
            </w:r>
          </w:p>
        </w:tc>
        <w:tc>
          <w:tcPr>
            <w:tcW w:w="236"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rPr>
            </w:pPr>
          </w:p>
        </w:tc>
      </w:tr>
      <w:tr>
        <w:tblPrEx>
          <w:tblCellMar>
            <w:top w:w="0" w:type="dxa"/>
            <w:left w:w="108" w:type="dxa"/>
            <w:bottom w:w="0" w:type="dxa"/>
            <w:right w:w="108" w:type="dxa"/>
          </w:tblCellMar>
        </w:tblPrEx>
        <w:trPr>
          <w:gridAfter w:val="1"/>
          <w:wAfter w:w="236" w:type="dxa"/>
          <w:trHeight w:val="254"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主管部门及代码</w:t>
            </w:r>
          </w:p>
        </w:tc>
        <w:tc>
          <w:tcPr>
            <w:tcW w:w="48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205001－攀枝花市文化广播电视和旅游局</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实施单位</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攀枝花中国三线建设博物馆</w:t>
            </w:r>
          </w:p>
        </w:tc>
      </w:tr>
      <w:tr>
        <w:tblPrEx>
          <w:tblCellMar>
            <w:top w:w="0" w:type="dxa"/>
            <w:left w:w="108" w:type="dxa"/>
            <w:bottom w:w="0" w:type="dxa"/>
            <w:right w:w="108" w:type="dxa"/>
          </w:tblCellMar>
        </w:tblPrEx>
        <w:trPr>
          <w:gridAfter w:val="1"/>
          <w:wAfter w:w="236" w:type="dxa"/>
          <w:trHeight w:val="341" w:hRule="atLeast"/>
        </w:trPr>
        <w:tc>
          <w:tcPr>
            <w:tcW w:w="11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项目预算</w:t>
            </w:r>
          </w:p>
          <w:p>
            <w:pPr>
              <w:widowControl/>
              <w:spacing w:line="320" w:lineRule="exact"/>
              <w:jc w:val="left"/>
              <w:textAlignment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执行情况</w:t>
            </w:r>
          </w:p>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（万元）</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 xml:space="preserve"> 预算数：</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100</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 xml:space="preserve"> 执行数：</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13</w:t>
            </w:r>
          </w:p>
        </w:tc>
      </w:tr>
      <w:tr>
        <w:tblPrEx>
          <w:tblCellMar>
            <w:top w:w="0" w:type="dxa"/>
            <w:left w:w="108" w:type="dxa"/>
            <w:bottom w:w="0" w:type="dxa"/>
            <w:right w:w="108" w:type="dxa"/>
          </w:tblCellMar>
        </w:tblPrEx>
        <w:trPr>
          <w:gridAfter w:val="1"/>
          <w:wAfter w:w="236" w:type="dxa"/>
          <w:trHeight w:val="555" w:hRule="atLeast"/>
        </w:trPr>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cs="宋体" w:asciiTheme="minorEastAsia" w:hAnsiTheme="minorEastAsia" w:eastAsiaTheme="minorEastAsia"/>
                <w:sz w:val="20"/>
                <w:szCs w:val="20"/>
              </w:rPr>
            </w:pP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其中：</w:t>
            </w:r>
          </w:p>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财政拨款</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100</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其中：</w:t>
            </w:r>
          </w:p>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财政拨款</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13</w:t>
            </w:r>
          </w:p>
        </w:tc>
      </w:tr>
      <w:tr>
        <w:tblPrEx>
          <w:tblCellMar>
            <w:top w:w="0" w:type="dxa"/>
            <w:left w:w="108" w:type="dxa"/>
            <w:bottom w:w="0" w:type="dxa"/>
            <w:right w:w="108" w:type="dxa"/>
          </w:tblCellMar>
        </w:tblPrEx>
        <w:trPr>
          <w:gridAfter w:val="1"/>
          <w:wAfter w:w="236" w:type="dxa"/>
          <w:trHeight w:val="341" w:hRule="atLeast"/>
        </w:trPr>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cs="宋体" w:asciiTheme="minorEastAsia" w:hAnsiTheme="minorEastAsia" w:eastAsiaTheme="minorEastAsia"/>
                <w:sz w:val="20"/>
                <w:szCs w:val="20"/>
              </w:rPr>
            </w:pP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其他资金</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其他资金</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p>
        </w:tc>
      </w:tr>
      <w:tr>
        <w:tblPrEx>
          <w:tblCellMar>
            <w:top w:w="0" w:type="dxa"/>
            <w:left w:w="108" w:type="dxa"/>
            <w:bottom w:w="0" w:type="dxa"/>
            <w:right w:w="108" w:type="dxa"/>
          </w:tblCellMar>
        </w:tblPrEx>
        <w:trPr>
          <w:gridAfter w:val="1"/>
          <w:wAfter w:w="236" w:type="dxa"/>
          <w:trHeight w:val="217" w:hRule="atLeast"/>
        </w:trPr>
        <w:tc>
          <w:tcPr>
            <w:tcW w:w="11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年度总体目标</w:t>
            </w:r>
          </w:p>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完成情况</w:t>
            </w:r>
          </w:p>
        </w:tc>
        <w:tc>
          <w:tcPr>
            <w:tcW w:w="48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预期目标</w:t>
            </w:r>
          </w:p>
        </w:tc>
        <w:tc>
          <w:tcPr>
            <w:tcW w:w="4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目标实际完成情况</w:t>
            </w:r>
          </w:p>
        </w:tc>
      </w:tr>
      <w:tr>
        <w:tblPrEx>
          <w:tblCellMar>
            <w:top w:w="0" w:type="dxa"/>
            <w:left w:w="108" w:type="dxa"/>
            <w:bottom w:w="0" w:type="dxa"/>
            <w:right w:w="108" w:type="dxa"/>
          </w:tblCellMar>
        </w:tblPrEx>
        <w:trPr>
          <w:gridAfter w:val="1"/>
          <w:wAfter w:w="236" w:type="dxa"/>
          <w:trHeight w:val="797" w:hRule="atLeast"/>
        </w:trPr>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cs="宋体" w:asciiTheme="minorEastAsia" w:hAnsiTheme="minorEastAsia" w:eastAsiaTheme="minorEastAsia"/>
                <w:sz w:val="20"/>
                <w:szCs w:val="20"/>
              </w:rPr>
            </w:pPr>
          </w:p>
        </w:tc>
        <w:tc>
          <w:tcPr>
            <w:tcW w:w="4819"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丰富博物馆馆藏，完善博物馆馆藏体系。吸引更多的观众走进博物馆，了解三线历史文化，传承弘扬三线精神。</w:t>
            </w:r>
          </w:p>
        </w:tc>
        <w:tc>
          <w:tcPr>
            <w:tcW w:w="4253"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因新冠肺炎疫情影响，实施进度和经费使用未达到预期目标。</w:t>
            </w:r>
          </w:p>
        </w:tc>
      </w:tr>
      <w:tr>
        <w:tblPrEx>
          <w:tblCellMar>
            <w:top w:w="0" w:type="dxa"/>
            <w:left w:w="108" w:type="dxa"/>
            <w:bottom w:w="0" w:type="dxa"/>
            <w:right w:w="108" w:type="dxa"/>
          </w:tblCellMar>
        </w:tblPrEx>
        <w:trPr>
          <w:gridAfter w:val="1"/>
          <w:wAfter w:w="236" w:type="dxa"/>
          <w:trHeight w:val="693" w:hRule="atLeast"/>
        </w:trPr>
        <w:tc>
          <w:tcPr>
            <w:tcW w:w="1101"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left"/>
              <w:textAlignment w:val="center"/>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年度绩效指标完成情况</w:t>
            </w:r>
          </w:p>
        </w:tc>
        <w:tc>
          <w:tcPr>
            <w:tcW w:w="850"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left"/>
              <w:textAlignment w:val="center"/>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一级</w:t>
            </w:r>
          </w:p>
          <w:p>
            <w:pPr>
              <w:widowControl/>
              <w:spacing w:line="320" w:lineRule="exact"/>
              <w:jc w:val="left"/>
              <w:textAlignment w:val="center"/>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指标</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二级</w:t>
            </w:r>
          </w:p>
          <w:p>
            <w:pPr>
              <w:widowControl/>
              <w:spacing w:line="320" w:lineRule="exact"/>
              <w:jc w:val="left"/>
              <w:textAlignment w:val="center"/>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指标</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三级</w:t>
            </w:r>
          </w:p>
          <w:p>
            <w:pPr>
              <w:widowControl/>
              <w:spacing w:line="320" w:lineRule="exact"/>
              <w:jc w:val="left"/>
              <w:textAlignment w:val="center"/>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指标</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预期指标值</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实际完成指标值</w:t>
            </w:r>
          </w:p>
        </w:tc>
      </w:tr>
      <w:tr>
        <w:tblPrEx>
          <w:tblCellMar>
            <w:top w:w="0" w:type="dxa"/>
            <w:left w:w="108" w:type="dxa"/>
            <w:bottom w:w="0" w:type="dxa"/>
            <w:right w:w="108" w:type="dxa"/>
          </w:tblCellMar>
        </w:tblPrEx>
        <w:trPr>
          <w:gridAfter w:val="1"/>
          <w:wAfter w:w="236" w:type="dxa"/>
          <w:trHeight w:val="415" w:hRule="atLeast"/>
        </w:trPr>
        <w:tc>
          <w:tcPr>
            <w:tcW w:w="1101"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完成</w:t>
            </w:r>
          </w:p>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指标</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数量指标</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专项征集和军工文物征集件数</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专项征集1229件，军工文物征集9件</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专项征集1229件，军工文物征集5件</w:t>
            </w:r>
          </w:p>
        </w:tc>
      </w:tr>
      <w:tr>
        <w:tblPrEx>
          <w:tblCellMar>
            <w:top w:w="0" w:type="dxa"/>
            <w:left w:w="108" w:type="dxa"/>
            <w:bottom w:w="0" w:type="dxa"/>
            <w:right w:w="108" w:type="dxa"/>
          </w:tblCellMar>
        </w:tblPrEx>
        <w:trPr>
          <w:gridAfter w:val="1"/>
          <w:wAfter w:w="236" w:type="dxa"/>
          <w:trHeight w:val="415" w:hRule="atLeast"/>
        </w:trPr>
        <w:tc>
          <w:tcPr>
            <w:tcW w:w="1101"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cs="仿宋_GB2312" w:asciiTheme="minorEastAsia" w:hAnsiTheme="minorEastAsia" w:eastAsiaTheme="minorEastAsia"/>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质量指标</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藏品验收合格率</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100%</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100%</w:t>
            </w:r>
          </w:p>
        </w:tc>
      </w:tr>
      <w:tr>
        <w:tblPrEx>
          <w:tblCellMar>
            <w:top w:w="0" w:type="dxa"/>
            <w:left w:w="108" w:type="dxa"/>
            <w:bottom w:w="0" w:type="dxa"/>
            <w:right w:w="108" w:type="dxa"/>
          </w:tblCellMar>
        </w:tblPrEx>
        <w:trPr>
          <w:gridAfter w:val="1"/>
          <w:wAfter w:w="236" w:type="dxa"/>
          <w:trHeight w:val="415" w:hRule="atLeast"/>
        </w:trPr>
        <w:tc>
          <w:tcPr>
            <w:tcW w:w="1101"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cs="仿宋_GB2312" w:asciiTheme="minorEastAsia" w:hAnsiTheme="minorEastAsia" w:eastAsiaTheme="minorEastAsia"/>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时效指标</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 藏品征集周期</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5年</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预计5年内能征集完成</w:t>
            </w:r>
          </w:p>
        </w:tc>
      </w:tr>
      <w:tr>
        <w:tblPrEx>
          <w:tblCellMar>
            <w:top w:w="0" w:type="dxa"/>
            <w:left w:w="108" w:type="dxa"/>
            <w:bottom w:w="0" w:type="dxa"/>
            <w:right w:w="108" w:type="dxa"/>
          </w:tblCellMar>
        </w:tblPrEx>
        <w:trPr>
          <w:gridAfter w:val="1"/>
          <w:wAfter w:w="236" w:type="dxa"/>
          <w:trHeight w:val="480" w:hRule="atLeast"/>
        </w:trPr>
        <w:tc>
          <w:tcPr>
            <w:tcW w:w="1101"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cs="仿宋_GB2312" w:asciiTheme="minorEastAsia" w:hAnsiTheme="minorEastAsia" w:eastAsiaTheme="minorEastAsia"/>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成本指标</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藏品征集经费</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100万</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13万</w:t>
            </w:r>
          </w:p>
        </w:tc>
      </w:tr>
      <w:tr>
        <w:tblPrEx>
          <w:tblCellMar>
            <w:top w:w="0" w:type="dxa"/>
            <w:left w:w="108" w:type="dxa"/>
            <w:bottom w:w="0" w:type="dxa"/>
            <w:right w:w="108" w:type="dxa"/>
          </w:tblCellMar>
        </w:tblPrEx>
        <w:trPr>
          <w:gridAfter w:val="1"/>
          <w:wAfter w:w="236" w:type="dxa"/>
          <w:trHeight w:val="480" w:hRule="atLeast"/>
        </w:trPr>
        <w:tc>
          <w:tcPr>
            <w:tcW w:w="1101"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效益</w:t>
            </w:r>
          </w:p>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指标</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经济效益指标</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 带动攀枝花红色旅游和研学</w:t>
            </w:r>
            <w:r>
              <w:rPr>
                <w:rFonts w:hint="eastAsia" w:asciiTheme="minorEastAsia" w:hAnsiTheme="minorEastAsia" w:eastAsiaTheme="minorEastAsia"/>
                <w:sz w:val="20"/>
                <w:szCs w:val="20"/>
              </w:rPr>
              <w:br w:type="textWrapping"/>
            </w:r>
            <w:r>
              <w:rPr>
                <w:rFonts w:hint="eastAsia" w:asciiTheme="minorEastAsia" w:hAnsiTheme="minorEastAsia" w:eastAsiaTheme="minorEastAsia"/>
                <w:sz w:val="20"/>
                <w:szCs w:val="20"/>
              </w:rPr>
              <w:t>旅行的发展</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　带动攀枝花红色旅游和研学旅行的发展</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　带动攀枝花红色旅游和研学旅行的发展</w:t>
            </w:r>
          </w:p>
        </w:tc>
      </w:tr>
      <w:tr>
        <w:tblPrEx>
          <w:tblCellMar>
            <w:top w:w="0" w:type="dxa"/>
            <w:left w:w="108" w:type="dxa"/>
            <w:bottom w:w="0" w:type="dxa"/>
            <w:right w:w="108" w:type="dxa"/>
          </w:tblCellMar>
        </w:tblPrEx>
        <w:trPr>
          <w:gridAfter w:val="1"/>
          <w:wAfter w:w="236" w:type="dxa"/>
          <w:trHeight w:val="480" w:hRule="atLeast"/>
        </w:trPr>
        <w:tc>
          <w:tcPr>
            <w:tcW w:w="1101"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cs="仿宋_GB2312" w:asciiTheme="minorEastAsia" w:hAnsiTheme="minorEastAsia" w:eastAsiaTheme="minorEastAsia"/>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社会效益指标</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 吸引更多的观众走进博物馆，体验三线历史文化，传承三线精神，扩大博物馆影响力。</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参观人数、媒体报道</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吸引更多的观众走进博物馆。</w:t>
            </w:r>
          </w:p>
        </w:tc>
      </w:tr>
      <w:tr>
        <w:tblPrEx>
          <w:tblCellMar>
            <w:top w:w="0" w:type="dxa"/>
            <w:left w:w="108" w:type="dxa"/>
            <w:bottom w:w="0" w:type="dxa"/>
            <w:right w:w="108" w:type="dxa"/>
          </w:tblCellMar>
        </w:tblPrEx>
        <w:trPr>
          <w:gridAfter w:val="1"/>
          <w:wAfter w:w="236" w:type="dxa"/>
          <w:trHeight w:val="577" w:hRule="atLeast"/>
        </w:trPr>
        <w:tc>
          <w:tcPr>
            <w:tcW w:w="1101"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cs="仿宋_GB2312" w:asciiTheme="minorEastAsia" w:hAnsiTheme="minorEastAsia" w:eastAsiaTheme="minorEastAsia"/>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生态效益指标</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p>
        </w:tc>
      </w:tr>
      <w:tr>
        <w:tblPrEx>
          <w:tblCellMar>
            <w:top w:w="0" w:type="dxa"/>
            <w:left w:w="108" w:type="dxa"/>
            <w:bottom w:w="0" w:type="dxa"/>
            <w:right w:w="108" w:type="dxa"/>
          </w:tblCellMar>
        </w:tblPrEx>
        <w:trPr>
          <w:gridAfter w:val="1"/>
          <w:wAfter w:w="236" w:type="dxa"/>
          <w:trHeight w:val="480" w:hRule="atLeast"/>
        </w:trPr>
        <w:tc>
          <w:tcPr>
            <w:tcW w:w="1101"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cs="仿宋_GB2312" w:asciiTheme="minorEastAsia" w:hAnsiTheme="minorEastAsia" w:eastAsiaTheme="minorEastAsia"/>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可持续影响 指标</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展示三线历史文化，推动“三线精神”弘扬和传承，增强广大群众对建设美好生活的创业精神和爱国情怀。</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媒体报道</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吸引更多的观众走进博物馆。</w:t>
            </w:r>
          </w:p>
        </w:tc>
      </w:tr>
      <w:tr>
        <w:tblPrEx>
          <w:tblCellMar>
            <w:top w:w="0" w:type="dxa"/>
            <w:left w:w="108" w:type="dxa"/>
            <w:bottom w:w="0" w:type="dxa"/>
            <w:right w:w="108" w:type="dxa"/>
          </w:tblCellMar>
        </w:tblPrEx>
        <w:trPr>
          <w:gridAfter w:val="1"/>
          <w:wAfter w:w="236" w:type="dxa"/>
          <w:trHeight w:val="530" w:hRule="atLeast"/>
        </w:trPr>
        <w:tc>
          <w:tcPr>
            <w:tcW w:w="1101"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满意</w:t>
            </w:r>
          </w:p>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度指标</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满意度</w:t>
            </w:r>
          </w:p>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指标</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观众满意度</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观众留言、观众满意度调查表</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95%</w:t>
            </w:r>
          </w:p>
        </w:tc>
      </w:tr>
    </w:tbl>
    <w:p>
      <w:pPr>
        <w:spacing w:line="600" w:lineRule="exact"/>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tbl>
      <w:tblPr>
        <w:tblStyle w:val="12"/>
        <w:tblpPr w:leftFromText="180" w:rightFromText="180" w:vertAnchor="text" w:horzAnchor="page" w:tblpX="963" w:tblpY="660"/>
        <w:tblOverlap w:val="never"/>
        <w:tblW w:w="10409" w:type="dxa"/>
        <w:tblInd w:w="0" w:type="dxa"/>
        <w:tblLayout w:type="fixed"/>
        <w:tblCellMar>
          <w:top w:w="0" w:type="dxa"/>
          <w:left w:w="108" w:type="dxa"/>
          <w:bottom w:w="0" w:type="dxa"/>
          <w:right w:w="108" w:type="dxa"/>
        </w:tblCellMar>
      </w:tblPr>
      <w:tblGrid>
        <w:gridCol w:w="1242"/>
        <w:gridCol w:w="1134"/>
        <w:gridCol w:w="1276"/>
        <w:gridCol w:w="1843"/>
        <w:gridCol w:w="1989"/>
        <w:gridCol w:w="2689"/>
        <w:gridCol w:w="236"/>
      </w:tblGrid>
      <w:tr>
        <w:tblPrEx>
          <w:tblCellMar>
            <w:top w:w="0" w:type="dxa"/>
            <w:left w:w="108" w:type="dxa"/>
            <w:bottom w:w="0" w:type="dxa"/>
            <w:right w:w="108" w:type="dxa"/>
          </w:tblCellMar>
        </w:tblPrEx>
        <w:trPr>
          <w:trHeight w:val="675" w:hRule="atLeast"/>
        </w:trPr>
        <w:tc>
          <w:tcPr>
            <w:tcW w:w="10173" w:type="dxa"/>
            <w:gridSpan w:val="6"/>
            <w:tcBorders>
              <w:top w:val="nil"/>
              <w:left w:val="nil"/>
              <w:bottom w:val="nil"/>
              <w:right w:val="nil"/>
            </w:tcBorders>
            <w:shd w:val="clear" w:color="auto" w:fill="auto"/>
            <w:vAlign w:val="center"/>
          </w:tcPr>
          <w:p>
            <w:pPr>
              <w:widowControl/>
              <w:jc w:val="center"/>
              <w:textAlignment w:val="center"/>
              <w:rPr>
                <w:rFonts w:ascii="宋体" w:hAnsi="宋体" w:cs="宋体"/>
                <w:b/>
                <w:sz w:val="32"/>
                <w:szCs w:val="32"/>
              </w:rPr>
            </w:pPr>
            <w:r>
              <w:rPr>
                <w:rFonts w:hint="eastAsia" w:ascii="宋体" w:hAnsi="宋体" w:cs="宋体"/>
                <w:b/>
                <w:sz w:val="32"/>
                <w:szCs w:val="32"/>
              </w:rPr>
              <w:t>2021年省级文物保护专项资金项目绩效目标自评</w:t>
            </w:r>
          </w:p>
        </w:tc>
        <w:tc>
          <w:tcPr>
            <w:tcW w:w="236"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rPr>
            </w:pPr>
          </w:p>
        </w:tc>
      </w:tr>
      <w:tr>
        <w:tblPrEx>
          <w:tblCellMar>
            <w:top w:w="0" w:type="dxa"/>
            <w:left w:w="108" w:type="dxa"/>
            <w:bottom w:w="0" w:type="dxa"/>
            <w:right w:w="108" w:type="dxa"/>
          </w:tblCellMar>
        </w:tblPrEx>
        <w:trPr>
          <w:gridAfter w:val="1"/>
          <w:wAfter w:w="236" w:type="dxa"/>
          <w:trHeight w:val="254"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主管部门及代码</w:t>
            </w:r>
          </w:p>
        </w:tc>
        <w:tc>
          <w:tcPr>
            <w:tcW w:w="42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205001－攀枝花市文化广播电视和旅游局</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实施单位</w:t>
            </w:r>
          </w:p>
        </w:tc>
        <w:tc>
          <w:tcPr>
            <w:tcW w:w="26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攀枝花中国三线建设博物馆</w:t>
            </w:r>
          </w:p>
        </w:tc>
      </w:tr>
      <w:tr>
        <w:tblPrEx>
          <w:tblCellMar>
            <w:top w:w="0" w:type="dxa"/>
            <w:left w:w="108" w:type="dxa"/>
            <w:bottom w:w="0" w:type="dxa"/>
            <w:right w:w="108" w:type="dxa"/>
          </w:tblCellMar>
        </w:tblPrEx>
        <w:trPr>
          <w:gridAfter w:val="1"/>
          <w:wAfter w:w="236" w:type="dxa"/>
          <w:trHeight w:val="341" w:hRule="atLeast"/>
        </w:trPr>
        <w:tc>
          <w:tcPr>
            <w:tcW w:w="12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项目预算</w:t>
            </w:r>
          </w:p>
          <w:p>
            <w:pPr>
              <w:widowControl/>
              <w:spacing w:line="320" w:lineRule="exact"/>
              <w:jc w:val="left"/>
              <w:textAlignment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执行情况</w:t>
            </w:r>
          </w:p>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（万元）</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 xml:space="preserve"> 预算数：</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130</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 xml:space="preserve"> 执行数：</w:t>
            </w:r>
          </w:p>
        </w:tc>
        <w:tc>
          <w:tcPr>
            <w:tcW w:w="26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30</w:t>
            </w:r>
          </w:p>
        </w:tc>
      </w:tr>
      <w:tr>
        <w:tblPrEx>
          <w:tblCellMar>
            <w:top w:w="0" w:type="dxa"/>
            <w:left w:w="108" w:type="dxa"/>
            <w:bottom w:w="0" w:type="dxa"/>
            <w:right w:w="108" w:type="dxa"/>
          </w:tblCellMar>
        </w:tblPrEx>
        <w:trPr>
          <w:gridAfter w:val="1"/>
          <w:wAfter w:w="236" w:type="dxa"/>
          <w:trHeight w:val="555" w:hRule="atLeast"/>
        </w:trPr>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cs="宋体" w:asciiTheme="minorEastAsia" w:hAnsiTheme="minorEastAsia" w:eastAsiaTheme="minorEastAsia"/>
                <w:sz w:val="20"/>
                <w:szCs w:val="20"/>
              </w:rPr>
            </w:pP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其中：</w:t>
            </w:r>
          </w:p>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财政拨款</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130</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其中：</w:t>
            </w:r>
          </w:p>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财政拨款</w:t>
            </w:r>
          </w:p>
        </w:tc>
        <w:tc>
          <w:tcPr>
            <w:tcW w:w="26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30</w:t>
            </w:r>
          </w:p>
        </w:tc>
      </w:tr>
      <w:tr>
        <w:tblPrEx>
          <w:tblCellMar>
            <w:top w:w="0" w:type="dxa"/>
            <w:left w:w="108" w:type="dxa"/>
            <w:bottom w:w="0" w:type="dxa"/>
            <w:right w:w="108" w:type="dxa"/>
          </w:tblCellMar>
        </w:tblPrEx>
        <w:trPr>
          <w:gridAfter w:val="1"/>
          <w:wAfter w:w="236" w:type="dxa"/>
          <w:trHeight w:val="341" w:hRule="atLeast"/>
        </w:trPr>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cs="宋体" w:asciiTheme="minorEastAsia" w:hAnsiTheme="minorEastAsia" w:eastAsiaTheme="minorEastAsia"/>
                <w:sz w:val="20"/>
                <w:szCs w:val="20"/>
              </w:rPr>
            </w:pP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其他资金</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其他资金</w:t>
            </w:r>
          </w:p>
        </w:tc>
        <w:tc>
          <w:tcPr>
            <w:tcW w:w="26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p>
        </w:tc>
      </w:tr>
      <w:tr>
        <w:tblPrEx>
          <w:tblCellMar>
            <w:top w:w="0" w:type="dxa"/>
            <w:left w:w="108" w:type="dxa"/>
            <w:bottom w:w="0" w:type="dxa"/>
            <w:right w:w="108" w:type="dxa"/>
          </w:tblCellMar>
        </w:tblPrEx>
        <w:trPr>
          <w:gridAfter w:val="1"/>
          <w:wAfter w:w="236" w:type="dxa"/>
          <w:trHeight w:val="217" w:hRule="atLeast"/>
        </w:trPr>
        <w:tc>
          <w:tcPr>
            <w:tcW w:w="12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年度总体目标</w:t>
            </w:r>
          </w:p>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完成情况</w:t>
            </w:r>
          </w:p>
        </w:tc>
        <w:tc>
          <w:tcPr>
            <w:tcW w:w="42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预期目标</w:t>
            </w:r>
          </w:p>
        </w:tc>
        <w:tc>
          <w:tcPr>
            <w:tcW w:w="46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目标实际完成情况</w:t>
            </w:r>
          </w:p>
        </w:tc>
      </w:tr>
      <w:tr>
        <w:tblPrEx>
          <w:tblCellMar>
            <w:top w:w="0" w:type="dxa"/>
            <w:left w:w="108" w:type="dxa"/>
            <w:bottom w:w="0" w:type="dxa"/>
            <w:right w:w="108" w:type="dxa"/>
          </w:tblCellMar>
        </w:tblPrEx>
        <w:trPr>
          <w:gridAfter w:val="1"/>
          <w:wAfter w:w="236" w:type="dxa"/>
          <w:trHeight w:val="797" w:hRule="atLeast"/>
        </w:trPr>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cs="宋体" w:asciiTheme="minorEastAsia" w:hAnsiTheme="minorEastAsia" w:eastAsiaTheme="minorEastAsia"/>
                <w:sz w:val="20"/>
                <w:szCs w:val="20"/>
              </w:rPr>
            </w:pPr>
          </w:p>
        </w:tc>
        <w:tc>
          <w:tcPr>
            <w:tcW w:w="4253"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深入开展文物保护工作，改善文物保护条件，持续强化文物征集力度，进一步丰富展陈内容，提升陈列布展技术手段，提高展览服务质量。</w:t>
            </w:r>
          </w:p>
        </w:tc>
        <w:tc>
          <w:tcPr>
            <w:tcW w:w="4678"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 xml:space="preserve">截至目前，各项工作基本完成，文物保护监控系统改造升级项目正在方案确定中。2021年文物保护工作成效显著，安全保障平稳有序，文物征集成果丰硕。  </w:t>
            </w:r>
          </w:p>
        </w:tc>
      </w:tr>
      <w:tr>
        <w:tblPrEx>
          <w:tblCellMar>
            <w:top w:w="0" w:type="dxa"/>
            <w:left w:w="108" w:type="dxa"/>
            <w:bottom w:w="0" w:type="dxa"/>
            <w:right w:w="108" w:type="dxa"/>
          </w:tblCellMar>
        </w:tblPrEx>
        <w:trPr>
          <w:gridAfter w:val="1"/>
          <w:wAfter w:w="236" w:type="dxa"/>
          <w:trHeight w:val="693" w:hRule="atLeast"/>
        </w:trPr>
        <w:tc>
          <w:tcPr>
            <w:tcW w:w="1242"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left"/>
              <w:textAlignment w:val="center"/>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年度绩效指标完成情况</w:t>
            </w:r>
          </w:p>
        </w:tc>
        <w:tc>
          <w:tcPr>
            <w:tcW w:w="1134"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left"/>
              <w:textAlignment w:val="center"/>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一级</w:t>
            </w:r>
          </w:p>
          <w:p>
            <w:pPr>
              <w:widowControl/>
              <w:spacing w:line="320" w:lineRule="exact"/>
              <w:jc w:val="left"/>
              <w:textAlignment w:val="center"/>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指标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二级</w:t>
            </w:r>
          </w:p>
          <w:p>
            <w:pPr>
              <w:widowControl/>
              <w:spacing w:line="320" w:lineRule="exact"/>
              <w:jc w:val="left"/>
              <w:textAlignment w:val="center"/>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指标</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三级</w:t>
            </w:r>
          </w:p>
          <w:p>
            <w:pPr>
              <w:widowControl/>
              <w:spacing w:line="320" w:lineRule="exact"/>
              <w:jc w:val="left"/>
              <w:textAlignment w:val="center"/>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指标</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预期指标值</w:t>
            </w:r>
          </w:p>
        </w:tc>
        <w:tc>
          <w:tcPr>
            <w:tcW w:w="26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实际完成指标值</w:t>
            </w:r>
          </w:p>
        </w:tc>
      </w:tr>
      <w:tr>
        <w:tblPrEx>
          <w:tblCellMar>
            <w:top w:w="0" w:type="dxa"/>
            <w:left w:w="108" w:type="dxa"/>
            <w:bottom w:w="0" w:type="dxa"/>
            <w:right w:w="108" w:type="dxa"/>
          </w:tblCellMar>
        </w:tblPrEx>
        <w:trPr>
          <w:gridAfter w:val="1"/>
          <w:wAfter w:w="236" w:type="dxa"/>
          <w:trHeight w:val="415" w:hRule="atLeast"/>
        </w:trPr>
        <w:tc>
          <w:tcPr>
            <w:tcW w:w="1242"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完成</w:t>
            </w:r>
          </w:p>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指标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数量指标</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征集三线文物，参加文物培训次数，文物安全检查次数</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征集三线文物1万余件（套），参加文物培训13次，文物安全检查41次</w:t>
            </w:r>
          </w:p>
        </w:tc>
        <w:tc>
          <w:tcPr>
            <w:tcW w:w="26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征集三线文物1万余件（套），参加文物培训13次，文物安全检查41次</w:t>
            </w:r>
          </w:p>
        </w:tc>
      </w:tr>
      <w:tr>
        <w:tblPrEx>
          <w:tblCellMar>
            <w:top w:w="0" w:type="dxa"/>
            <w:left w:w="108" w:type="dxa"/>
            <w:bottom w:w="0" w:type="dxa"/>
            <w:right w:w="108" w:type="dxa"/>
          </w:tblCellMar>
        </w:tblPrEx>
        <w:trPr>
          <w:gridAfter w:val="1"/>
          <w:wAfter w:w="236" w:type="dxa"/>
          <w:trHeight w:val="415" w:hRule="atLeast"/>
        </w:trPr>
        <w:tc>
          <w:tcPr>
            <w:tcW w:w="1242"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cs="仿宋_GB2312" w:asciiTheme="minorEastAsia" w:hAnsiTheme="minorEastAsia" w:eastAsiaTheme="minorEastAsia"/>
                <w:sz w:val="20"/>
                <w:szCs w:val="20"/>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质量指标</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项目完成效果</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 xml:space="preserve">游客参观人数不少于20万   </w:t>
            </w:r>
          </w:p>
        </w:tc>
        <w:tc>
          <w:tcPr>
            <w:tcW w:w="26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接待各类观众26.2万人次，其中攀枝花开发建设纪念馆13406人，大田会议纪念馆9203</w:t>
            </w:r>
          </w:p>
        </w:tc>
      </w:tr>
      <w:tr>
        <w:tblPrEx>
          <w:tblCellMar>
            <w:top w:w="0" w:type="dxa"/>
            <w:left w:w="108" w:type="dxa"/>
            <w:bottom w:w="0" w:type="dxa"/>
            <w:right w:w="108" w:type="dxa"/>
          </w:tblCellMar>
        </w:tblPrEx>
        <w:trPr>
          <w:gridAfter w:val="1"/>
          <w:wAfter w:w="236" w:type="dxa"/>
          <w:trHeight w:val="415" w:hRule="atLeast"/>
        </w:trPr>
        <w:tc>
          <w:tcPr>
            <w:tcW w:w="1242"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cs="仿宋_GB2312" w:asciiTheme="minorEastAsia" w:hAnsiTheme="minorEastAsia" w:eastAsiaTheme="minorEastAsia"/>
                <w:sz w:val="20"/>
                <w:szCs w:val="20"/>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时效指标</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项目打造完成时间</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2021年</w:t>
            </w:r>
          </w:p>
        </w:tc>
        <w:tc>
          <w:tcPr>
            <w:tcW w:w="26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受疫情影响，项目进度有所延缓，预计2022年中完成</w:t>
            </w:r>
          </w:p>
        </w:tc>
      </w:tr>
      <w:tr>
        <w:tblPrEx>
          <w:tblCellMar>
            <w:top w:w="0" w:type="dxa"/>
            <w:left w:w="108" w:type="dxa"/>
            <w:bottom w:w="0" w:type="dxa"/>
            <w:right w:w="108" w:type="dxa"/>
          </w:tblCellMar>
        </w:tblPrEx>
        <w:trPr>
          <w:gridAfter w:val="1"/>
          <w:wAfter w:w="236" w:type="dxa"/>
          <w:trHeight w:val="480" w:hRule="atLeast"/>
        </w:trPr>
        <w:tc>
          <w:tcPr>
            <w:tcW w:w="1242"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cs="仿宋_GB2312" w:asciiTheme="minorEastAsia" w:hAnsiTheme="minorEastAsia" w:eastAsiaTheme="minorEastAsia"/>
                <w:sz w:val="20"/>
                <w:szCs w:val="20"/>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成本指标</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项目打造费用</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130万</w:t>
            </w:r>
          </w:p>
        </w:tc>
        <w:tc>
          <w:tcPr>
            <w:tcW w:w="26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30万</w:t>
            </w:r>
          </w:p>
        </w:tc>
      </w:tr>
      <w:tr>
        <w:tblPrEx>
          <w:tblCellMar>
            <w:top w:w="0" w:type="dxa"/>
            <w:left w:w="108" w:type="dxa"/>
            <w:bottom w:w="0" w:type="dxa"/>
            <w:right w:w="108" w:type="dxa"/>
          </w:tblCellMar>
        </w:tblPrEx>
        <w:trPr>
          <w:gridAfter w:val="1"/>
          <w:wAfter w:w="236" w:type="dxa"/>
          <w:trHeight w:val="480" w:hRule="atLeast"/>
        </w:trPr>
        <w:tc>
          <w:tcPr>
            <w:tcW w:w="1242"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效益</w:t>
            </w:r>
          </w:p>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指标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经济效益指标</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p>
        </w:tc>
        <w:tc>
          <w:tcPr>
            <w:tcW w:w="26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p>
        </w:tc>
      </w:tr>
      <w:tr>
        <w:tblPrEx>
          <w:tblCellMar>
            <w:top w:w="0" w:type="dxa"/>
            <w:left w:w="108" w:type="dxa"/>
            <w:bottom w:w="0" w:type="dxa"/>
            <w:right w:w="108" w:type="dxa"/>
          </w:tblCellMar>
        </w:tblPrEx>
        <w:trPr>
          <w:gridAfter w:val="1"/>
          <w:wAfter w:w="236" w:type="dxa"/>
          <w:trHeight w:val="480" w:hRule="atLeast"/>
        </w:trPr>
        <w:tc>
          <w:tcPr>
            <w:tcW w:w="1242"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cs="仿宋_GB2312" w:asciiTheme="minorEastAsia" w:hAnsiTheme="minorEastAsia" w:eastAsiaTheme="minorEastAsia"/>
                <w:sz w:val="20"/>
                <w:szCs w:val="20"/>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社会效益指标</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 提供安全、整洁、舒适的参观环境</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参观人数、媒体报道</w:t>
            </w:r>
          </w:p>
        </w:tc>
        <w:tc>
          <w:tcPr>
            <w:tcW w:w="26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完成</w:t>
            </w:r>
          </w:p>
        </w:tc>
      </w:tr>
      <w:tr>
        <w:tblPrEx>
          <w:tblCellMar>
            <w:top w:w="0" w:type="dxa"/>
            <w:left w:w="108" w:type="dxa"/>
            <w:bottom w:w="0" w:type="dxa"/>
            <w:right w:w="108" w:type="dxa"/>
          </w:tblCellMar>
        </w:tblPrEx>
        <w:trPr>
          <w:gridAfter w:val="1"/>
          <w:wAfter w:w="236" w:type="dxa"/>
          <w:trHeight w:val="577" w:hRule="atLeast"/>
        </w:trPr>
        <w:tc>
          <w:tcPr>
            <w:tcW w:w="1242"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cs="仿宋_GB2312" w:asciiTheme="minorEastAsia" w:hAnsiTheme="minorEastAsia" w:eastAsiaTheme="minorEastAsia"/>
                <w:sz w:val="20"/>
                <w:szCs w:val="20"/>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ind w:left="383" w:leftChars="87" w:hanging="200" w:hangingChars="100"/>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生态效益  指标</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p>
        </w:tc>
        <w:tc>
          <w:tcPr>
            <w:tcW w:w="26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p>
        </w:tc>
      </w:tr>
      <w:tr>
        <w:tblPrEx>
          <w:tblCellMar>
            <w:top w:w="0" w:type="dxa"/>
            <w:left w:w="108" w:type="dxa"/>
            <w:bottom w:w="0" w:type="dxa"/>
            <w:right w:w="108" w:type="dxa"/>
          </w:tblCellMar>
        </w:tblPrEx>
        <w:trPr>
          <w:gridAfter w:val="1"/>
          <w:wAfter w:w="236" w:type="dxa"/>
          <w:trHeight w:val="480" w:hRule="atLeast"/>
        </w:trPr>
        <w:tc>
          <w:tcPr>
            <w:tcW w:w="1242"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cs="仿宋_GB2312" w:asciiTheme="minorEastAsia" w:hAnsiTheme="minorEastAsia" w:eastAsiaTheme="minorEastAsia"/>
                <w:sz w:val="20"/>
                <w:szCs w:val="20"/>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可持续影响 指标</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安全有序免费开放</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全年无安全责任事故</w:t>
            </w:r>
          </w:p>
        </w:tc>
        <w:tc>
          <w:tcPr>
            <w:tcW w:w="26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完成</w:t>
            </w:r>
          </w:p>
        </w:tc>
      </w:tr>
      <w:tr>
        <w:tblPrEx>
          <w:tblCellMar>
            <w:top w:w="0" w:type="dxa"/>
            <w:left w:w="108" w:type="dxa"/>
            <w:bottom w:w="0" w:type="dxa"/>
            <w:right w:w="108" w:type="dxa"/>
          </w:tblCellMar>
        </w:tblPrEx>
        <w:trPr>
          <w:gridAfter w:val="1"/>
          <w:wAfter w:w="236" w:type="dxa"/>
          <w:trHeight w:val="530" w:hRule="atLeast"/>
        </w:trPr>
        <w:tc>
          <w:tcPr>
            <w:tcW w:w="1242"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满意</w:t>
            </w:r>
          </w:p>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度指标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满意度</w:t>
            </w:r>
          </w:p>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指标</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参观群众满意度</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95%</w:t>
            </w:r>
          </w:p>
        </w:tc>
        <w:tc>
          <w:tcPr>
            <w:tcW w:w="26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98%</w:t>
            </w:r>
          </w:p>
        </w:tc>
      </w:tr>
    </w:tbl>
    <w:p>
      <w:pPr>
        <w:spacing w:line="600" w:lineRule="exact"/>
        <w:jc w:val="center"/>
        <w:outlineLvl w:val="0"/>
        <w:rPr>
          <w:rFonts w:ascii="黑体" w:hAnsi="黑体" w:eastAsia="黑体"/>
          <w:sz w:val="44"/>
          <w:szCs w:val="44"/>
        </w:rPr>
      </w:pPr>
    </w:p>
    <w:p>
      <w:pPr>
        <w:spacing w:line="600" w:lineRule="exact"/>
        <w:outlineLvl w:val="0"/>
        <w:rPr>
          <w:rFonts w:ascii="黑体" w:hAnsi="黑体" w:eastAsia="黑体"/>
          <w:sz w:val="44"/>
          <w:szCs w:val="44"/>
        </w:rPr>
      </w:pPr>
    </w:p>
    <w:p>
      <w:pPr>
        <w:spacing w:line="600" w:lineRule="exact"/>
        <w:outlineLvl w:val="0"/>
        <w:rPr>
          <w:rFonts w:ascii="黑体" w:hAnsi="黑体" w:eastAsia="黑体"/>
          <w:sz w:val="44"/>
          <w:szCs w:val="44"/>
        </w:rPr>
      </w:pPr>
    </w:p>
    <w:tbl>
      <w:tblPr>
        <w:tblStyle w:val="12"/>
        <w:tblpPr w:leftFromText="180" w:rightFromText="180" w:vertAnchor="text" w:horzAnchor="page" w:tblpX="645" w:tblpY="660"/>
        <w:tblOverlap w:val="never"/>
        <w:tblW w:w="11259" w:type="dxa"/>
        <w:tblInd w:w="0" w:type="dxa"/>
        <w:tblLayout w:type="fixed"/>
        <w:tblCellMar>
          <w:top w:w="0" w:type="dxa"/>
          <w:left w:w="108" w:type="dxa"/>
          <w:bottom w:w="0" w:type="dxa"/>
          <w:right w:w="108" w:type="dxa"/>
        </w:tblCellMar>
      </w:tblPr>
      <w:tblGrid>
        <w:gridCol w:w="959"/>
        <w:gridCol w:w="709"/>
        <w:gridCol w:w="567"/>
        <w:gridCol w:w="567"/>
        <w:gridCol w:w="1275"/>
        <w:gridCol w:w="3261"/>
        <w:gridCol w:w="3685"/>
        <w:gridCol w:w="236"/>
      </w:tblGrid>
      <w:tr>
        <w:tblPrEx>
          <w:tblCellMar>
            <w:top w:w="0" w:type="dxa"/>
            <w:left w:w="108" w:type="dxa"/>
            <w:bottom w:w="0" w:type="dxa"/>
            <w:right w:w="108" w:type="dxa"/>
          </w:tblCellMar>
        </w:tblPrEx>
        <w:trPr>
          <w:trHeight w:val="675" w:hRule="atLeast"/>
        </w:trPr>
        <w:tc>
          <w:tcPr>
            <w:tcW w:w="11023" w:type="dxa"/>
            <w:gridSpan w:val="7"/>
            <w:tcBorders>
              <w:top w:val="nil"/>
              <w:left w:val="nil"/>
              <w:bottom w:val="nil"/>
              <w:right w:val="nil"/>
            </w:tcBorders>
            <w:shd w:val="clear" w:color="auto" w:fill="auto"/>
            <w:vAlign w:val="center"/>
          </w:tcPr>
          <w:p>
            <w:pPr>
              <w:widowControl/>
              <w:jc w:val="center"/>
              <w:textAlignment w:val="center"/>
              <w:rPr>
                <w:rFonts w:ascii="宋体" w:hAnsi="宋体" w:cs="宋体"/>
                <w:b/>
                <w:sz w:val="32"/>
                <w:szCs w:val="32"/>
              </w:rPr>
            </w:pPr>
            <w:r>
              <w:rPr>
                <w:rFonts w:hint="eastAsia" w:ascii="宋体" w:hAnsi="宋体" w:cs="宋体"/>
                <w:b/>
                <w:sz w:val="32"/>
                <w:szCs w:val="32"/>
              </w:rPr>
              <w:t>2021年中央、省级免费开放专项资金项目绩效目标自评</w:t>
            </w:r>
          </w:p>
        </w:tc>
        <w:tc>
          <w:tcPr>
            <w:tcW w:w="236"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rPr>
            </w:pPr>
          </w:p>
        </w:tc>
      </w:tr>
      <w:tr>
        <w:tblPrEx>
          <w:tblCellMar>
            <w:top w:w="0" w:type="dxa"/>
            <w:left w:w="108" w:type="dxa"/>
            <w:bottom w:w="0" w:type="dxa"/>
            <w:right w:w="108" w:type="dxa"/>
          </w:tblCellMar>
        </w:tblPrEx>
        <w:trPr>
          <w:gridAfter w:val="1"/>
          <w:wAfter w:w="236" w:type="dxa"/>
          <w:trHeight w:val="254"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主管部门及代码</w:t>
            </w:r>
          </w:p>
        </w:tc>
        <w:tc>
          <w:tcPr>
            <w:tcW w:w="31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205001－攀枝花市文化广播电视和旅游局</w:t>
            </w:r>
          </w:p>
        </w:tc>
        <w:tc>
          <w:tcPr>
            <w:tcW w:w="3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实施单位</w:t>
            </w: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攀枝花中国三线建设博物馆</w:t>
            </w:r>
          </w:p>
        </w:tc>
      </w:tr>
      <w:tr>
        <w:tblPrEx>
          <w:tblCellMar>
            <w:top w:w="0" w:type="dxa"/>
            <w:left w:w="108" w:type="dxa"/>
            <w:bottom w:w="0" w:type="dxa"/>
            <w:right w:w="108" w:type="dxa"/>
          </w:tblCellMar>
        </w:tblPrEx>
        <w:trPr>
          <w:gridAfter w:val="1"/>
          <w:wAfter w:w="236" w:type="dxa"/>
          <w:trHeight w:val="341" w:hRule="atLeast"/>
        </w:trPr>
        <w:tc>
          <w:tcPr>
            <w:tcW w:w="9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项目预算</w:t>
            </w:r>
          </w:p>
          <w:p>
            <w:pPr>
              <w:widowControl/>
              <w:spacing w:line="320" w:lineRule="exact"/>
              <w:jc w:val="left"/>
              <w:textAlignment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执行情况</w:t>
            </w:r>
          </w:p>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（万元）</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 xml:space="preserve"> 预算数：</w:t>
            </w: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102.04</w:t>
            </w:r>
          </w:p>
        </w:tc>
        <w:tc>
          <w:tcPr>
            <w:tcW w:w="3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 xml:space="preserve"> 执行数：</w:t>
            </w: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102.04</w:t>
            </w:r>
          </w:p>
        </w:tc>
      </w:tr>
      <w:tr>
        <w:tblPrEx>
          <w:tblCellMar>
            <w:top w:w="0" w:type="dxa"/>
            <w:left w:w="108" w:type="dxa"/>
            <w:bottom w:w="0" w:type="dxa"/>
            <w:right w:w="108" w:type="dxa"/>
          </w:tblCellMar>
        </w:tblPrEx>
        <w:trPr>
          <w:gridAfter w:val="1"/>
          <w:wAfter w:w="236" w:type="dxa"/>
          <w:trHeight w:val="555"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cs="宋体" w:asciiTheme="minorEastAsia" w:hAnsiTheme="minorEastAsia" w:eastAsiaTheme="minorEastAsia"/>
                <w:sz w:val="20"/>
                <w:szCs w:val="20"/>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其中：</w:t>
            </w:r>
          </w:p>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财政拨款</w:t>
            </w: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102.04</w:t>
            </w:r>
          </w:p>
        </w:tc>
        <w:tc>
          <w:tcPr>
            <w:tcW w:w="3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其中：</w:t>
            </w:r>
          </w:p>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财政拨款</w:t>
            </w: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102.04</w:t>
            </w:r>
          </w:p>
        </w:tc>
      </w:tr>
      <w:tr>
        <w:tblPrEx>
          <w:tblCellMar>
            <w:top w:w="0" w:type="dxa"/>
            <w:left w:w="108" w:type="dxa"/>
            <w:bottom w:w="0" w:type="dxa"/>
            <w:right w:w="108" w:type="dxa"/>
          </w:tblCellMar>
        </w:tblPrEx>
        <w:trPr>
          <w:gridAfter w:val="1"/>
          <w:wAfter w:w="236" w:type="dxa"/>
          <w:trHeight w:val="341"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cs="宋体" w:asciiTheme="minorEastAsia" w:hAnsiTheme="minorEastAsia" w:eastAsiaTheme="minorEastAsia"/>
                <w:sz w:val="20"/>
                <w:szCs w:val="20"/>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其他资金</w:t>
            </w: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p>
        </w:tc>
        <w:tc>
          <w:tcPr>
            <w:tcW w:w="3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其他资金</w:t>
            </w: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p>
        </w:tc>
      </w:tr>
      <w:tr>
        <w:tblPrEx>
          <w:tblCellMar>
            <w:top w:w="0" w:type="dxa"/>
            <w:left w:w="108" w:type="dxa"/>
            <w:bottom w:w="0" w:type="dxa"/>
            <w:right w:w="108" w:type="dxa"/>
          </w:tblCellMar>
        </w:tblPrEx>
        <w:trPr>
          <w:gridAfter w:val="1"/>
          <w:wAfter w:w="236" w:type="dxa"/>
          <w:trHeight w:val="217" w:hRule="atLeast"/>
        </w:trPr>
        <w:tc>
          <w:tcPr>
            <w:tcW w:w="9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年度总体目标</w:t>
            </w:r>
          </w:p>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完成情况</w:t>
            </w:r>
          </w:p>
        </w:tc>
        <w:tc>
          <w:tcPr>
            <w:tcW w:w="31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预期目标</w:t>
            </w:r>
          </w:p>
        </w:tc>
        <w:tc>
          <w:tcPr>
            <w:tcW w:w="69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目标实际完成情况</w:t>
            </w:r>
          </w:p>
        </w:tc>
      </w:tr>
      <w:tr>
        <w:tblPrEx>
          <w:tblCellMar>
            <w:top w:w="0" w:type="dxa"/>
            <w:left w:w="108" w:type="dxa"/>
            <w:bottom w:w="0" w:type="dxa"/>
            <w:right w:w="108" w:type="dxa"/>
          </w:tblCellMar>
        </w:tblPrEx>
        <w:trPr>
          <w:gridAfter w:val="1"/>
          <w:wAfter w:w="236" w:type="dxa"/>
          <w:trHeight w:val="797"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cs="宋体" w:asciiTheme="minorEastAsia" w:hAnsiTheme="minorEastAsia" w:eastAsiaTheme="minorEastAsia"/>
                <w:sz w:val="20"/>
                <w:szCs w:val="20"/>
              </w:rPr>
            </w:pPr>
          </w:p>
        </w:tc>
        <w:tc>
          <w:tcPr>
            <w:tcW w:w="3118" w:type="dxa"/>
            <w:gridSpan w:val="4"/>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发挥 “两馆”重要职能，不断提升展陈水平和服务质量，顺利拓展各项业务工作，确保“两馆”的稳定运行和持续发展。</w:t>
            </w:r>
          </w:p>
        </w:tc>
        <w:tc>
          <w:tcPr>
            <w:tcW w:w="6946"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“两馆”疫情管控和免费开放措施得当、管理有力，进一步加强了讲解员队伍建设，参观环境和服务质量有大幅提升，管理运行机制得到有效完善，达到了预期</w:t>
            </w:r>
            <w:r>
              <w:rPr>
                <w:rFonts w:hint="eastAsia" w:cs="宋体" w:asciiTheme="minorEastAsia" w:hAnsiTheme="minorEastAsia" w:eastAsiaTheme="minorEastAsia"/>
                <w:sz w:val="20"/>
                <w:szCs w:val="20"/>
                <w:lang w:eastAsia="zh-CN"/>
              </w:rPr>
              <w:t>目标</w:t>
            </w:r>
            <w:r>
              <w:rPr>
                <w:rFonts w:hint="eastAsia" w:cs="宋体" w:asciiTheme="minorEastAsia" w:hAnsiTheme="minorEastAsia" w:eastAsiaTheme="minorEastAsia"/>
                <w:sz w:val="20"/>
                <w:szCs w:val="20"/>
              </w:rPr>
              <w:t>，完成所有年初工作计划场馆免费开放、展陈提升及文物单位保护修复、安全隐患整治、展陈设备维修及更换项目。</w:t>
            </w:r>
          </w:p>
        </w:tc>
      </w:tr>
      <w:tr>
        <w:tblPrEx>
          <w:tblCellMar>
            <w:top w:w="0" w:type="dxa"/>
            <w:left w:w="108" w:type="dxa"/>
            <w:bottom w:w="0" w:type="dxa"/>
            <w:right w:w="108" w:type="dxa"/>
          </w:tblCellMar>
        </w:tblPrEx>
        <w:trPr>
          <w:gridAfter w:val="1"/>
          <w:wAfter w:w="236" w:type="dxa"/>
          <w:trHeight w:val="693" w:hRule="atLeast"/>
        </w:trPr>
        <w:tc>
          <w:tcPr>
            <w:tcW w:w="959"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left"/>
              <w:textAlignment w:val="center"/>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年度绩效指标完成情况</w:t>
            </w:r>
          </w:p>
        </w:tc>
        <w:tc>
          <w:tcPr>
            <w:tcW w:w="709"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left"/>
              <w:textAlignment w:val="center"/>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一级</w:t>
            </w:r>
          </w:p>
          <w:p>
            <w:pPr>
              <w:widowControl/>
              <w:spacing w:line="320" w:lineRule="exact"/>
              <w:jc w:val="left"/>
              <w:textAlignment w:val="center"/>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指标</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二级</w:t>
            </w:r>
          </w:p>
          <w:p>
            <w:pPr>
              <w:widowControl/>
              <w:spacing w:line="320" w:lineRule="exact"/>
              <w:jc w:val="left"/>
              <w:textAlignment w:val="center"/>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三级</w:t>
            </w:r>
          </w:p>
          <w:p>
            <w:pPr>
              <w:widowControl/>
              <w:spacing w:line="320" w:lineRule="exact"/>
              <w:jc w:val="left"/>
              <w:textAlignment w:val="center"/>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指标</w:t>
            </w:r>
          </w:p>
        </w:tc>
        <w:tc>
          <w:tcPr>
            <w:tcW w:w="3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预期指标值</w:t>
            </w: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实际完成指标值</w:t>
            </w:r>
          </w:p>
        </w:tc>
      </w:tr>
      <w:tr>
        <w:tblPrEx>
          <w:tblCellMar>
            <w:top w:w="0" w:type="dxa"/>
            <w:left w:w="108" w:type="dxa"/>
            <w:bottom w:w="0" w:type="dxa"/>
            <w:right w:w="108" w:type="dxa"/>
          </w:tblCellMar>
        </w:tblPrEx>
        <w:trPr>
          <w:gridAfter w:val="1"/>
          <w:wAfter w:w="236" w:type="dxa"/>
          <w:trHeight w:val="415" w:hRule="atLeast"/>
        </w:trPr>
        <w:tc>
          <w:tcPr>
            <w:tcW w:w="959"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完成</w:t>
            </w:r>
          </w:p>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指标</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数量指标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 “两馆”馆面积</w:t>
            </w:r>
          </w:p>
        </w:tc>
        <w:tc>
          <w:tcPr>
            <w:tcW w:w="3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完成“两馆”免费开放，基本运行以及展陈提升、设备维修、更换</w:t>
            </w: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完成“两馆”免费开放，基本运行以及展陈提升、设备维修、更换</w:t>
            </w:r>
          </w:p>
        </w:tc>
      </w:tr>
      <w:tr>
        <w:tblPrEx>
          <w:tblCellMar>
            <w:top w:w="0" w:type="dxa"/>
            <w:left w:w="108" w:type="dxa"/>
            <w:bottom w:w="0" w:type="dxa"/>
            <w:right w:w="108" w:type="dxa"/>
          </w:tblCellMar>
        </w:tblPrEx>
        <w:trPr>
          <w:gridAfter w:val="1"/>
          <w:wAfter w:w="236" w:type="dxa"/>
          <w:trHeight w:val="415" w:hRule="atLeast"/>
        </w:trPr>
        <w:tc>
          <w:tcPr>
            <w:tcW w:w="959"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cs="仿宋_GB2312" w:asciiTheme="minorEastAsia" w:hAnsiTheme="minorEastAsia" w:eastAsiaTheme="minorEastAsia"/>
                <w:sz w:val="20"/>
                <w:szCs w:val="20"/>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质量指标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免开效果显著</w:t>
            </w:r>
          </w:p>
        </w:tc>
        <w:tc>
          <w:tcPr>
            <w:tcW w:w="3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攀枝花开发建设纪念共接待13406人次，大田会议纪念馆接待9203人次，同比有大幅增加。</w:t>
            </w: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攀枝花开发建设纪念馆共接待参观人数13406人次，大田会议纪念馆共接待游客9203人次，同比有大幅增加。</w:t>
            </w:r>
          </w:p>
        </w:tc>
      </w:tr>
      <w:tr>
        <w:tblPrEx>
          <w:tblCellMar>
            <w:top w:w="0" w:type="dxa"/>
            <w:left w:w="108" w:type="dxa"/>
            <w:bottom w:w="0" w:type="dxa"/>
            <w:right w:w="108" w:type="dxa"/>
          </w:tblCellMar>
        </w:tblPrEx>
        <w:trPr>
          <w:gridAfter w:val="1"/>
          <w:wAfter w:w="236" w:type="dxa"/>
          <w:trHeight w:val="415" w:hRule="atLeast"/>
        </w:trPr>
        <w:tc>
          <w:tcPr>
            <w:tcW w:w="959"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cs="仿宋_GB2312" w:asciiTheme="minorEastAsia" w:hAnsiTheme="minorEastAsia" w:eastAsiaTheme="minorEastAsia"/>
                <w:sz w:val="20"/>
                <w:szCs w:val="20"/>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时效指标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 开放时间</w:t>
            </w:r>
          </w:p>
        </w:tc>
        <w:tc>
          <w:tcPr>
            <w:tcW w:w="3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年均免费开放310天以上</w:t>
            </w: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“两馆”年均免费开放310天以上</w:t>
            </w:r>
          </w:p>
        </w:tc>
      </w:tr>
      <w:tr>
        <w:tblPrEx>
          <w:tblCellMar>
            <w:top w:w="0" w:type="dxa"/>
            <w:left w:w="108" w:type="dxa"/>
            <w:bottom w:w="0" w:type="dxa"/>
            <w:right w:w="108" w:type="dxa"/>
          </w:tblCellMar>
        </w:tblPrEx>
        <w:trPr>
          <w:gridAfter w:val="1"/>
          <w:wAfter w:w="236" w:type="dxa"/>
          <w:trHeight w:val="480" w:hRule="atLeast"/>
        </w:trPr>
        <w:tc>
          <w:tcPr>
            <w:tcW w:w="959"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cs="仿宋_GB2312" w:asciiTheme="minorEastAsia" w:hAnsiTheme="minorEastAsia" w:eastAsiaTheme="minorEastAsia"/>
                <w:sz w:val="20"/>
                <w:szCs w:val="20"/>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成本指标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开展费用</w:t>
            </w:r>
          </w:p>
        </w:tc>
        <w:tc>
          <w:tcPr>
            <w:tcW w:w="326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102.04</w:t>
            </w: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102.04</w:t>
            </w:r>
          </w:p>
        </w:tc>
      </w:tr>
      <w:tr>
        <w:tblPrEx>
          <w:tblCellMar>
            <w:top w:w="0" w:type="dxa"/>
            <w:left w:w="108" w:type="dxa"/>
            <w:bottom w:w="0" w:type="dxa"/>
            <w:right w:w="108" w:type="dxa"/>
          </w:tblCellMar>
        </w:tblPrEx>
        <w:trPr>
          <w:gridAfter w:val="1"/>
          <w:wAfter w:w="236" w:type="dxa"/>
          <w:trHeight w:val="480" w:hRule="atLeast"/>
        </w:trPr>
        <w:tc>
          <w:tcPr>
            <w:tcW w:w="959"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效益</w:t>
            </w:r>
          </w:p>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指标</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经济效益  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促进红色文化旅游发展</w:t>
            </w:r>
          </w:p>
        </w:tc>
        <w:tc>
          <w:tcPr>
            <w:tcW w:w="3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推动攀枝花红色文旅产业壮大，加快实现文旅经济高质量发展。</w:t>
            </w: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推动攀枝花红色文旅产业不断壮大，加快实现文旅经济高质量发展。</w:t>
            </w:r>
          </w:p>
        </w:tc>
      </w:tr>
      <w:tr>
        <w:tblPrEx>
          <w:tblCellMar>
            <w:top w:w="0" w:type="dxa"/>
            <w:left w:w="108" w:type="dxa"/>
            <w:bottom w:w="0" w:type="dxa"/>
            <w:right w:w="108" w:type="dxa"/>
          </w:tblCellMar>
        </w:tblPrEx>
        <w:trPr>
          <w:gridAfter w:val="1"/>
          <w:wAfter w:w="236" w:type="dxa"/>
          <w:trHeight w:val="480" w:hRule="atLeast"/>
        </w:trPr>
        <w:tc>
          <w:tcPr>
            <w:tcW w:w="959"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cs="仿宋_GB2312" w:asciiTheme="minorEastAsia" w:hAnsiTheme="minorEastAsia" w:eastAsiaTheme="minorEastAsia"/>
                <w:sz w:val="20"/>
                <w:szCs w:val="20"/>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社会效益  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凝聚强大精神力量</w:t>
            </w:r>
          </w:p>
        </w:tc>
        <w:tc>
          <w:tcPr>
            <w:tcW w:w="3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社会影响力扩大，吸引更多的观众走进纪念馆，了解三线历史文化</w:t>
            </w: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社会影响力不断扩大，吸引更多的观众走进纪念馆，了解三线历史文化</w:t>
            </w:r>
          </w:p>
        </w:tc>
      </w:tr>
      <w:tr>
        <w:tblPrEx>
          <w:tblCellMar>
            <w:top w:w="0" w:type="dxa"/>
            <w:left w:w="108" w:type="dxa"/>
            <w:bottom w:w="0" w:type="dxa"/>
            <w:right w:w="108" w:type="dxa"/>
          </w:tblCellMar>
        </w:tblPrEx>
        <w:trPr>
          <w:gridAfter w:val="1"/>
          <w:wAfter w:w="236" w:type="dxa"/>
          <w:trHeight w:val="577" w:hRule="atLeast"/>
        </w:trPr>
        <w:tc>
          <w:tcPr>
            <w:tcW w:w="959"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cs="仿宋_GB2312" w:asciiTheme="minorEastAsia" w:hAnsiTheme="minorEastAsia" w:eastAsiaTheme="minorEastAsia"/>
                <w:sz w:val="20"/>
                <w:szCs w:val="20"/>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生态效益指标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提升博物馆生态文化核心地位</w:t>
            </w:r>
          </w:p>
        </w:tc>
        <w:tc>
          <w:tcPr>
            <w:tcW w:w="3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生态和文化环境改善，融入成渝地区双城经济圈发挥积极作用。</w:t>
            </w: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生态和文化环境进一步改善融入成渝地区双城经济圈发挥积极作用。</w:t>
            </w:r>
          </w:p>
        </w:tc>
      </w:tr>
      <w:tr>
        <w:tblPrEx>
          <w:tblCellMar>
            <w:top w:w="0" w:type="dxa"/>
            <w:left w:w="108" w:type="dxa"/>
            <w:bottom w:w="0" w:type="dxa"/>
            <w:right w:w="108" w:type="dxa"/>
          </w:tblCellMar>
        </w:tblPrEx>
        <w:trPr>
          <w:gridAfter w:val="1"/>
          <w:wAfter w:w="236" w:type="dxa"/>
          <w:trHeight w:val="480" w:hRule="atLeast"/>
        </w:trPr>
        <w:tc>
          <w:tcPr>
            <w:tcW w:w="959"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cs="仿宋_GB2312" w:asciiTheme="minorEastAsia" w:hAnsiTheme="minorEastAsia" w:eastAsiaTheme="minorEastAsia"/>
                <w:sz w:val="20"/>
                <w:szCs w:val="20"/>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可持续影响 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 “三线精神”传承</w:t>
            </w:r>
          </w:p>
        </w:tc>
        <w:tc>
          <w:tcPr>
            <w:tcW w:w="3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“三线精神”传承赓续，经济社会效益进一步彰显</w:t>
            </w: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“三线精神”传承赓续，经济社会效益进一步彰显</w:t>
            </w:r>
          </w:p>
        </w:tc>
      </w:tr>
      <w:tr>
        <w:tblPrEx>
          <w:tblCellMar>
            <w:top w:w="0" w:type="dxa"/>
            <w:left w:w="108" w:type="dxa"/>
            <w:bottom w:w="0" w:type="dxa"/>
            <w:right w:w="108" w:type="dxa"/>
          </w:tblCellMar>
        </w:tblPrEx>
        <w:trPr>
          <w:gridAfter w:val="1"/>
          <w:wAfter w:w="236" w:type="dxa"/>
          <w:trHeight w:val="530" w:hRule="atLeast"/>
        </w:trPr>
        <w:tc>
          <w:tcPr>
            <w:tcW w:w="959"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满意</w:t>
            </w:r>
          </w:p>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度指标</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满意度</w:t>
            </w:r>
          </w:p>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观众满意</w:t>
            </w:r>
          </w:p>
        </w:tc>
        <w:tc>
          <w:tcPr>
            <w:tcW w:w="3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观众95%以上满意</w:t>
            </w: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观众95%以上满意</w:t>
            </w:r>
          </w:p>
        </w:tc>
      </w:tr>
    </w:tbl>
    <w:p>
      <w:pPr>
        <w:spacing w:line="600" w:lineRule="exact"/>
        <w:outlineLvl w:val="0"/>
        <w:rPr>
          <w:rFonts w:ascii="黑体" w:hAnsi="黑体" w:eastAsia="黑体"/>
          <w:sz w:val="44"/>
          <w:szCs w:val="44"/>
        </w:rPr>
      </w:pPr>
    </w:p>
    <w:p>
      <w:pPr>
        <w:spacing w:line="600" w:lineRule="exact"/>
        <w:outlineLvl w:val="0"/>
        <w:rPr>
          <w:rFonts w:ascii="黑体" w:hAnsi="黑体" w:eastAsia="黑体"/>
          <w:sz w:val="44"/>
          <w:szCs w:val="44"/>
        </w:rPr>
      </w:pPr>
    </w:p>
    <w:tbl>
      <w:tblPr>
        <w:tblStyle w:val="12"/>
        <w:tblpPr w:leftFromText="180" w:rightFromText="180" w:vertAnchor="text" w:horzAnchor="page" w:tblpX="963" w:tblpY="660"/>
        <w:tblOverlap w:val="never"/>
        <w:tblW w:w="10550" w:type="dxa"/>
        <w:tblInd w:w="0" w:type="dxa"/>
        <w:tblLayout w:type="fixed"/>
        <w:tblCellMar>
          <w:top w:w="0" w:type="dxa"/>
          <w:left w:w="108" w:type="dxa"/>
          <w:bottom w:w="0" w:type="dxa"/>
          <w:right w:w="108" w:type="dxa"/>
        </w:tblCellMar>
      </w:tblPr>
      <w:tblGrid>
        <w:gridCol w:w="1101"/>
        <w:gridCol w:w="850"/>
        <w:gridCol w:w="1134"/>
        <w:gridCol w:w="460"/>
        <w:gridCol w:w="1241"/>
        <w:gridCol w:w="2698"/>
        <w:gridCol w:w="2830"/>
        <w:gridCol w:w="236"/>
      </w:tblGrid>
      <w:tr>
        <w:tblPrEx>
          <w:tblCellMar>
            <w:top w:w="0" w:type="dxa"/>
            <w:left w:w="108" w:type="dxa"/>
            <w:bottom w:w="0" w:type="dxa"/>
            <w:right w:w="108" w:type="dxa"/>
          </w:tblCellMar>
        </w:tblPrEx>
        <w:trPr>
          <w:trHeight w:val="675" w:hRule="atLeast"/>
        </w:trPr>
        <w:tc>
          <w:tcPr>
            <w:tcW w:w="10314" w:type="dxa"/>
            <w:gridSpan w:val="7"/>
            <w:tcBorders>
              <w:top w:val="nil"/>
              <w:left w:val="nil"/>
              <w:bottom w:val="nil"/>
              <w:right w:val="nil"/>
            </w:tcBorders>
            <w:shd w:val="clear" w:color="auto" w:fill="auto"/>
            <w:vAlign w:val="center"/>
          </w:tcPr>
          <w:p>
            <w:pPr>
              <w:widowControl/>
              <w:textAlignment w:val="center"/>
              <w:rPr>
                <w:rFonts w:ascii="宋体" w:hAnsi="宋体" w:cs="宋体"/>
                <w:b/>
                <w:sz w:val="32"/>
                <w:szCs w:val="32"/>
              </w:rPr>
            </w:pPr>
          </w:p>
          <w:p>
            <w:pPr>
              <w:widowControl/>
              <w:jc w:val="center"/>
              <w:textAlignment w:val="center"/>
              <w:rPr>
                <w:rFonts w:ascii="宋体" w:hAnsi="宋体" w:cs="宋体"/>
                <w:b/>
                <w:sz w:val="32"/>
                <w:szCs w:val="32"/>
              </w:rPr>
            </w:pPr>
            <w:r>
              <w:rPr>
                <w:rFonts w:hint="eastAsia" w:ascii="宋体" w:hAnsi="宋体" w:cs="宋体"/>
                <w:b/>
                <w:sz w:val="32"/>
                <w:szCs w:val="32"/>
              </w:rPr>
              <w:t>党史学习教育工作经费项目绩效目标自评</w:t>
            </w:r>
          </w:p>
        </w:tc>
        <w:tc>
          <w:tcPr>
            <w:tcW w:w="236"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rPr>
            </w:pPr>
          </w:p>
        </w:tc>
      </w:tr>
      <w:tr>
        <w:tblPrEx>
          <w:tblCellMar>
            <w:top w:w="0" w:type="dxa"/>
            <w:left w:w="108" w:type="dxa"/>
            <w:bottom w:w="0" w:type="dxa"/>
            <w:right w:w="108" w:type="dxa"/>
          </w:tblCellMar>
        </w:tblPrEx>
        <w:trPr>
          <w:gridAfter w:val="1"/>
          <w:wAfter w:w="236" w:type="dxa"/>
          <w:trHeight w:val="254"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主管部门及代码</w:t>
            </w:r>
          </w:p>
        </w:tc>
        <w:tc>
          <w:tcPr>
            <w:tcW w:w="36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205001－攀枝花市文化广播电视和旅游局</w:t>
            </w:r>
          </w:p>
        </w:tc>
        <w:tc>
          <w:tcPr>
            <w:tcW w:w="26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实施单位</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攀枝花中国三线建设博物馆</w:t>
            </w:r>
          </w:p>
        </w:tc>
      </w:tr>
      <w:tr>
        <w:tblPrEx>
          <w:tblCellMar>
            <w:top w:w="0" w:type="dxa"/>
            <w:left w:w="108" w:type="dxa"/>
            <w:bottom w:w="0" w:type="dxa"/>
            <w:right w:w="108" w:type="dxa"/>
          </w:tblCellMar>
        </w:tblPrEx>
        <w:trPr>
          <w:gridAfter w:val="1"/>
          <w:wAfter w:w="236" w:type="dxa"/>
          <w:trHeight w:val="341" w:hRule="atLeast"/>
        </w:trPr>
        <w:tc>
          <w:tcPr>
            <w:tcW w:w="11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项目预算</w:t>
            </w:r>
          </w:p>
          <w:p>
            <w:pPr>
              <w:widowControl/>
              <w:spacing w:line="320" w:lineRule="exact"/>
              <w:jc w:val="left"/>
              <w:textAlignment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执行情况</w:t>
            </w:r>
          </w:p>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（万元）</w:t>
            </w:r>
          </w:p>
        </w:tc>
        <w:tc>
          <w:tcPr>
            <w:tcW w:w="24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 xml:space="preserve"> 预算数：</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40</w:t>
            </w:r>
          </w:p>
        </w:tc>
        <w:tc>
          <w:tcPr>
            <w:tcW w:w="26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 xml:space="preserve"> 执行数：</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3.34</w:t>
            </w:r>
          </w:p>
        </w:tc>
      </w:tr>
      <w:tr>
        <w:tblPrEx>
          <w:tblCellMar>
            <w:top w:w="0" w:type="dxa"/>
            <w:left w:w="108" w:type="dxa"/>
            <w:bottom w:w="0" w:type="dxa"/>
            <w:right w:w="108" w:type="dxa"/>
          </w:tblCellMar>
        </w:tblPrEx>
        <w:trPr>
          <w:gridAfter w:val="1"/>
          <w:wAfter w:w="236" w:type="dxa"/>
          <w:trHeight w:val="555" w:hRule="atLeast"/>
        </w:trPr>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cs="宋体" w:asciiTheme="minorEastAsia" w:hAnsiTheme="minorEastAsia" w:eastAsiaTheme="minorEastAsia"/>
                <w:sz w:val="20"/>
                <w:szCs w:val="20"/>
              </w:rPr>
            </w:pPr>
          </w:p>
        </w:tc>
        <w:tc>
          <w:tcPr>
            <w:tcW w:w="24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其中：</w:t>
            </w:r>
          </w:p>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财政拨款</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40</w:t>
            </w:r>
          </w:p>
        </w:tc>
        <w:tc>
          <w:tcPr>
            <w:tcW w:w="26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其中：</w:t>
            </w:r>
          </w:p>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财政拨款</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3.34</w:t>
            </w:r>
          </w:p>
        </w:tc>
      </w:tr>
      <w:tr>
        <w:tblPrEx>
          <w:tblCellMar>
            <w:top w:w="0" w:type="dxa"/>
            <w:left w:w="108" w:type="dxa"/>
            <w:bottom w:w="0" w:type="dxa"/>
            <w:right w:w="108" w:type="dxa"/>
          </w:tblCellMar>
        </w:tblPrEx>
        <w:trPr>
          <w:gridAfter w:val="1"/>
          <w:wAfter w:w="236" w:type="dxa"/>
          <w:trHeight w:val="341" w:hRule="atLeast"/>
        </w:trPr>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cs="宋体" w:asciiTheme="minorEastAsia" w:hAnsiTheme="minorEastAsia" w:eastAsiaTheme="minorEastAsia"/>
                <w:sz w:val="20"/>
                <w:szCs w:val="20"/>
              </w:rPr>
            </w:pPr>
          </w:p>
        </w:tc>
        <w:tc>
          <w:tcPr>
            <w:tcW w:w="24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其他资金</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p>
        </w:tc>
        <w:tc>
          <w:tcPr>
            <w:tcW w:w="26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其他资金</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p>
        </w:tc>
      </w:tr>
      <w:tr>
        <w:tblPrEx>
          <w:tblCellMar>
            <w:top w:w="0" w:type="dxa"/>
            <w:left w:w="108" w:type="dxa"/>
            <w:bottom w:w="0" w:type="dxa"/>
            <w:right w:w="108" w:type="dxa"/>
          </w:tblCellMar>
        </w:tblPrEx>
        <w:trPr>
          <w:gridAfter w:val="1"/>
          <w:wAfter w:w="236" w:type="dxa"/>
          <w:trHeight w:val="217" w:hRule="atLeast"/>
        </w:trPr>
        <w:tc>
          <w:tcPr>
            <w:tcW w:w="11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年度总体目标</w:t>
            </w:r>
          </w:p>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完成情况</w:t>
            </w:r>
          </w:p>
        </w:tc>
        <w:tc>
          <w:tcPr>
            <w:tcW w:w="36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预期目标</w:t>
            </w:r>
          </w:p>
        </w:tc>
        <w:tc>
          <w:tcPr>
            <w:tcW w:w="5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目标实际完成情况</w:t>
            </w:r>
          </w:p>
        </w:tc>
      </w:tr>
      <w:tr>
        <w:tblPrEx>
          <w:tblCellMar>
            <w:top w:w="0" w:type="dxa"/>
            <w:left w:w="108" w:type="dxa"/>
            <w:bottom w:w="0" w:type="dxa"/>
            <w:right w:w="108" w:type="dxa"/>
          </w:tblCellMar>
        </w:tblPrEx>
        <w:trPr>
          <w:gridAfter w:val="1"/>
          <w:wAfter w:w="236" w:type="dxa"/>
          <w:trHeight w:val="797" w:hRule="atLeast"/>
        </w:trPr>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cs="宋体" w:asciiTheme="minorEastAsia" w:hAnsiTheme="minorEastAsia" w:eastAsiaTheme="minorEastAsia"/>
                <w:sz w:val="20"/>
                <w:szCs w:val="20"/>
              </w:rPr>
            </w:pPr>
          </w:p>
        </w:tc>
        <w:tc>
          <w:tcPr>
            <w:tcW w:w="3685" w:type="dxa"/>
            <w:gridSpan w:val="4"/>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完成全市党史学习教育示范基地的打造，营造良好氛围，优化推出四条参观学习专线，积极开展庆祝建党百年展陈交流。</w:t>
            </w:r>
          </w:p>
        </w:tc>
        <w:tc>
          <w:tcPr>
            <w:tcW w:w="5528"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完成党史学习教育示范基地打造氛围营造的设计与制作工作，优化推出了四条游览线路，完成文创产品样品的设计与制作，完成中国共产党历史展览馆等展陈文物选送工作及庆祝建党百年馆际交流。</w:t>
            </w:r>
          </w:p>
        </w:tc>
      </w:tr>
      <w:tr>
        <w:tblPrEx>
          <w:tblCellMar>
            <w:top w:w="0" w:type="dxa"/>
            <w:left w:w="108" w:type="dxa"/>
            <w:bottom w:w="0" w:type="dxa"/>
            <w:right w:w="108" w:type="dxa"/>
          </w:tblCellMar>
        </w:tblPrEx>
        <w:trPr>
          <w:gridAfter w:val="1"/>
          <w:wAfter w:w="236" w:type="dxa"/>
          <w:trHeight w:val="693" w:hRule="atLeast"/>
        </w:trPr>
        <w:tc>
          <w:tcPr>
            <w:tcW w:w="1101"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left"/>
              <w:textAlignment w:val="center"/>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年度绩效指标完成情况</w:t>
            </w:r>
          </w:p>
        </w:tc>
        <w:tc>
          <w:tcPr>
            <w:tcW w:w="850"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left"/>
              <w:textAlignment w:val="center"/>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一级</w:t>
            </w:r>
          </w:p>
          <w:p>
            <w:pPr>
              <w:widowControl/>
              <w:spacing w:line="320" w:lineRule="exact"/>
              <w:jc w:val="left"/>
              <w:textAlignment w:val="center"/>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指标</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二级</w:t>
            </w:r>
          </w:p>
          <w:p>
            <w:pPr>
              <w:widowControl/>
              <w:spacing w:line="320" w:lineRule="exact"/>
              <w:jc w:val="left"/>
              <w:textAlignment w:val="center"/>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指标</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三级</w:t>
            </w:r>
          </w:p>
          <w:p>
            <w:pPr>
              <w:widowControl/>
              <w:spacing w:line="320" w:lineRule="exact"/>
              <w:jc w:val="left"/>
              <w:textAlignment w:val="center"/>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指标</w:t>
            </w:r>
          </w:p>
        </w:tc>
        <w:tc>
          <w:tcPr>
            <w:tcW w:w="26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预期指标值</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实际完成指标值</w:t>
            </w:r>
          </w:p>
        </w:tc>
      </w:tr>
      <w:tr>
        <w:tblPrEx>
          <w:tblCellMar>
            <w:top w:w="0" w:type="dxa"/>
            <w:left w:w="108" w:type="dxa"/>
            <w:bottom w:w="0" w:type="dxa"/>
            <w:right w:w="108" w:type="dxa"/>
          </w:tblCellMar>
        </w:tblPrEx>
        <w:trPr>
          <w:gridAfter w:val="1"/>
          <w:wAfter w:w="236" w:type="dxa"/>
          <w:trHeight w:val="415" w:hRule="atLeast"/>
        </w:trPr>
        <w:tc>
          <w:tcPr>
            <w:tcW w:w="1101"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完成</w:t>
            </w:r>
          </w:p>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指标</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数量指标</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项目打造数量</w:t>
            </w:r>
          </w:p>
        </w:tc>
        <w:tc>
          <w:tcPr>
            <w:tcW w:w="269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党史学习教育VR标识系统1套，基地打造氛围营造1套，展陈交流16件</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党史学习教育VR标识系统1套，基地打造氛围营造1套，展陈交流51件</w:t>
            </w:r>
          </w:p>
        </w:tc>
      </w:tr>
      <w:tr>
        <w:tblPrEx>
          <w:tblCellMar>
            <w:top w:w="0" w:type="dxa"/>
            <w:left w:w="108" w:type="dxa"/>
            <w:bottom w:w="0" w:type="dxa"/>
            <w:right w:w="108" w:type="dxa"/>
          </w:tblCellMar>
        </w:tblPrEx>
        <w:trPr>
          <w:gridAfter w:val="1"/>
          <w:wAfter w:w="236" w:type="dxa"/>
          <w:trHeight w:val="415" w:hRule="atLeast"/>
        </w:trPr>
        <w:tc>
          <w:tcPr>
            <w:tcW w:w="1101"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cs="仿宋_GB2312" w:asciiTheme="minorEastAsia" w:hAnsiTheme="minorEastAsia" w:eastAsiaTheme="minorEastAsia"/>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质量指标</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制作效果及交流的藏品</w:t>
            </w:r>
          </w:p>
        </w:tc>
        <w:tc>
          <w:tcPr>
            <w:tcW w:w="269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氛围感强，藏品无损坏</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氛围感强，藏品无损坏</w:t>
            </w:r>
          </w:p>
        </w:tc>
      </w:tr>
      <w:tr>
        <w:tblPrEx>
          <w:tblCellMar>
            <w:top w:w="0" w:type="dxa"/>
            <w:left w:w="108" w:type="dxa"/>
            <w:bottom w:w="0" w:type="dxa"/>
            <w:right w:w="108" w:type="dxa"/>
          </w:tblCellMar>
        </w:tblPrEx>
        <w:trPr>
          <w:gridAfter w:val="1"/>
          <w:wAfter w:w="236" w:type="dxa"/>
          <w:trHeight w:val="415" w:hRule="atLeast"/>
        </w:trPr>
        <w:tc>
          <w:tcPr>
            <w:tcW w:w="1101"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cs="仿宋_GB2312" w:asciiTheme="minorEastAsia" w:hAnsiTheme="minorEastAsia" w:eastAsiaTheme="minorEastAsia"/>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时效指标</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基地打造和展陈交流时间</w:t>
            </w:r>
          </w:p>
        </w:tc>
        <w:tc>
          <w:tcPr>
            <w:tcW w:w="269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基地打造30天，展陈交流6个月</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基地打造30天，展陈交流6个月</w:t>
            </w:r>
          </w:p>
        </w:tc>
      </w:tr>
      <w:tr>
        <w:tblPrEx>
          <w:tblCellMar>
            <w:top w:w="0" w:type="dxa"/>
            <w:left w:w="108" w:type="dxa"/>
            <w:bottom w:w="0" w:type="dxa"/>
            <w:right w:w="108" w:type="dxa"/>
          </w:tblCellMar>
        </w:tblPrEx>
        <w:trPr>
          <w:gridAfter w:val="1"/>
          <w:wAfter w:w="236" w:type="dxa"/>
          <w:trHeight w:val="480" w:hRule="atLeast"/>
        </w:trPr>
        <w:tc>
          <w:tcPr>
            <w:tcW w:w="1101"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cs="仿宋_GB2312" w:asciiTheme="minorEastAsia" w:hAnsiTheme="minorEastAsia" w:eastAsiaTheme="minorEastAsia"/>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成本指标</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项目费用</w:t>
            </w:r>
          </w:p>
        </w:tc>
        <w:tc>
          <w:tcPr>
            <w:tcW w:w="269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40万</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40万</w:t>
            </w:r>
          </w:p>
        </w:tc>
      </w:tr>
      <w:tr>
        <w:tblPrEx>
          <w:tblCellMar>
            <w:top w:w="0" w:type="dxa"/>
            <w:left w:w="108" w:type="dxa"/>
            <w:bottom w:w="0" w:type="dxa"/>
            <w:right w:w="108" w:type="dxa"/>
          </w:tblCellMar>
        </w:tblPrEx>
        <w:trPr>
          <w:gridAfter w:val="1"/>
          <w:wAfter w:w="236" w:type="dxa"/>
          <w:trHeight w:val="480" w:hRule="atLeast"/>
        </w:trPr>
        <w:tc>
          <w:tcPr>
            <w:tcW w:w="1101"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效益</w:t>
            </w:r>
          </w:p>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指标</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经济效益  指标</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促进红色文化旅游经济发展</w:t>
            </w:r>
          </w:p>
        </w:tc>
        <w:tc>
          <w:tcPr>
            <w:tcW w:w="26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推动全市红色文旅产业发展</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推动全市红色文旅产业发展</w:t>
            </w:r>
          </w:p>
        </w:tc>
      </w:tr>
      <w:tr>
        <w:tblPrEx>
          <w:tblCellMar>
            <w:top w:w="0" w:type="dxa"/>
            <w:left w:w="108" w:type="dxa"/>
            <w:bottom w:w="0" w:type="dxa"/>
            <w:right w:w="108" w:type="dxa"/>
          </w:tblCellMar>
        </w:tblPrEx>
        <w:trPr>
          <w:gridAfter w:val="1"/>
          <w:wAfter w:w="236" w:type="dxa"/>
          <w:trHeight w:val="480" w:hRule="atLeast"/>
        </w:trPr>
        <w:tc>
          <w:tcPr>
            <w:tcW w:w="1101"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cs="仿宋_GB2312" w:asciiTheme="minorEastAsia" w:hAnsiTheme="minorEastAsia" w:eastAsiaTheme="minorEastAsia"/>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社会效益  指标</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 指标1：凝聚强大精神力量</w:t>
            </w:r>
          </w:p>
        </w:tc>
        <w:tc>
          <w:tcPr>
            <w:tcW w:w="26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为推动全市高质量发展凝聚了强大的精神动力。</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为推动全市高质量发展凝聚了强大的精神动力。</w:t>
            </w:r>
          </w:p>
        </w:tc>
      </w:tr>
      <w:tr>
        <w:tblPrEx>
          <w:tblCellMar>
            <w:top w:w="0" w:type="dxa"/>
            <w:left w:w="108" w:type="dxa"/>
            <w:bottom w:w="0" w:type="dxa"/>
            <w:right w:w="108" w:type="dxa"/>
          </w:tblCellMar>
        </w:tblPrEx>
        <w:trPr>
          <w:gridAfter w:val="1"/>
          <w:wAfter w:w="236" w:type="dxa"/>
          <w:trHeight w:val="577" w:hRule="atLeast"/>
        </w:trPr>
        <w:tc>
          <w:tcPr>
            <w:tcW w:w="1101"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cs="仿宋_GB2312" w:asciiTheme="minorEastAsia" w:hAnsiTheme="minorEastAsia" w:eastAsiaTheme="minorEastAsia"/>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生态效益指标</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提升博物馆在区域内的生态文化核心地位</w:t>
            </w:r>
          </w:p>
        </w:tc>
        <w:tc>
          <w:tcPr>
            <w:tcW w:w="26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生态和文化环境进一步改善，融入成渝地区双城经济圈发挥积极作用。</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生态和文化环境进一步改善，融入成渝地区双城经济圈发挥积极作用。</w:t>
            </w:r>
          </w:p>
        </w:tc>
      </w:tr>
      <w:tr>
        <w:tblPrEx>
          <w:tblCellMar>
            <w:top w:w="0" w:type="dxa"/>
            <w:left w:w="108" w:type="dxa"/>
            <w:bottom w:w="0" w:type="dxa"/>
            <w:right w:w="108" w:type="dxa"/>
          </w:tblCellMar>
        </w:tblPrEx>
        <w:trPr>
          <w:gridAfter w:val="1"/>
          <w:wAfter w:w="236" w:type="dxa"/>
          <w:trHeight w:val="480" w:hRule="atLeast"/>
        </w:trPr>
        <w:tc>
          <w:tcPr>
            <w:tcW w:w="1101"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cs="仿宋_GB2312" w:asciiTheme="minorEastAsia" w:hAnsiTheme="minorEastAsia" w:eastAsiaTheme="minorEastAsia"/>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可持续影响指标</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 “三线精神”传承</w:t>
            </w:r>
          </w:p>
        </w:tc>
        <w:tc>
          <w:tcPr>
            <w:tcW w:w="26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“三线精神”传承赓续，经济社会效益进一步彰显</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“三线精神”传承赓续，经济社会效益进一步彰显</w:t>
            </w:r>
          </w:p>
        </w:tc>
      </w:tr>
      <w:tr>
        <w:tblPrEx>
          <w:tblCellMar>
            <w:top w:w="0" w:type="dxa"/>
            <w:left w:w="108" w:type="dxa"/>
            <w:bottom w:w="0" w:type="dxa"/>
            <w:right w:w="108" w:type="dxa"/>
          </w:tblCellMar>
        </w:tblPrEx>
        <w:trPr>
          <w:gridAfter w:val="1"/>
          <w:wAfter w:w="236" w:type="dxa"/>
          <w:trHeight w:val="800" w:hRule="atLeast"/>
        </w:trPr>
        <w:tc>
          <w:tcPr>
            <w:tcW w:w="1101"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满意</w:t>
            </w:r>
          </w:p>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度指标</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满意度</w:t>
            </w:r>
          </w:p>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指标</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观众满意</w:t>
            </w:r>
          </w:p>
        </w:tc>
        <w:tc>
          <w:tcPr>
            <w:tcW w:w="26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观众95%以上满意</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观众95%以上满意</w:t>
            </w:r>
          </w:p>
        </w:tc>
      </w:tr>
    </w:tbl>
    <w:p>
      <w:pPr>
        <w:spacing w:line="600" w:lineRule="exact"/>
        <w:outlineLvl w:val="0"/>
        <w:rPr>
          <w:rFonts w:ascii="黑体" w:hAnsi="黑体" w:eastAsia="黑体"/>
          <w:sz w:val="44"/>
          <w:szCs w:val="44"/>
        </w:rPr>
      </w:pPr>
    </w:p>
    <w:p>
      <w:pPr>
        <w:spacing w:line="600" w:lineRule="exact"/>
        <w:outlineLvl w:val="0"/>
        <w:rPr>
          <w:rFonts w:ascii="黑体" w:hAnsi="黑体" w:eastAsia="黑体"/>
          <w:sz w:val="44"/>
          <w:szCs w:val="44"/>
        </w:rPr>
      </w:pPr>
    </w:p>
    <w:p>
      <w:pPr>
        <w:spacing w:line="600" w:lineRule="exact"/>
        <w:outlineLvl w:val="0"/>
        <w:rPr>
          <w:rFonts w:ascii="黑体" w:hAnsi="黑体" w:eastAsia="黑体"/>
          <w:sz w:val="44"/>
          <w:szCs w:val="44"/>
        </w:rPr>
      </w:pPr>
    </w:p>
    <w:tbl>
      <w:tblPr>
        <w:tblStyle w:val="12"/>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668"/>
        <w:gridCol w:w="992"/>
        <w:gridCol w:w="992"/>
        <w:gridCol w:w="425"/>
        <w:gridCol w:w="993"/>
        <w:gridCol w:w="2096"/>
        <w:gridCol w:w="172"/>
        <w:gridCol w:w="2237"/>
        <w:gridCol w:w="236"/>
      </w:tblGrid>
      <w:tr>
        <w:tblPrEx>
          <w:tblCellMar>
            <w:top w:w="0" w:type="dxa"/>
            <w:left w:w="108" w:type="dxa"/>
            <w:bottom w:w="0" w:type="dxa"/>
            <w:right w:w="108" w:type="dxa"/>
          </w:tblCellMar>
        </w:tblPrEx>
        <w:trPr>
          <w:trHeight w:val="675" w:hRule="atLeast"/>
        </w:trPr>
        <w:tc>
          <w:tcPr>
            <w:tcW w:w="9575" w:type="dxa"/>
            <w:gridSpan w:val="8"/>
            <w:tcBorders>
              <w:top w:val="nil"/>
              <w:left w:val="nil"/>
              <w:bottom w:val="nil"/>
              <w:right w:val="nil"/>
            </w:tcBorders>
            <w:shd w:val="clear" w:color="auto" w:fill="auto"/>
            <w:vAlign w:val="center"/>
          </w:tcPr>
          <w:p>
            <w:pPr>
              <w:widowControl/>
              <w:textAlignment w:val="center"/>
              <w:rPr>
                <w:rFonts w:ascii="宋体" w:hAnsi="宋体" w:cs="宋体"/>
                <w:b/>
                <w:sz w:val="32"/>
                <w:szCs w:val="32"/>
              </w:rPr>
            </w:pPr>
          </w:p>
          <w:p>
            <w:pPr>
              <w:widowControl/>
              <w:jc w:val="center"/>
              <w:textAlignment w:val="center"/>
              <w:rPr>
                <w:rFonts w:ascii="宋体" w:hAnsi="宋体" w:cs="宋体"/>
                <w:b/>
                <w:sz w:val="32"/>
                <w:szCs w:val="32"/>
              </w:rPr>
            </w:pPr>
            <w:r>
              <w:rPr>
                <w:rFonts w:hint="eastAsia" w:ascii="宋体" w:hAnsi="宋体" w:cs="宋体"/>
                <w:b/>
                <w:sz w:val="32"/>
                <w:szCs w:val="32"/>
              </w:rPr>
              <w:t>编外聘用人员经费项目绩效目标自评</w:t>
            </w:r>
          </w:p>
        </w:tc>
        <w:tc>
          <w:tcPr>
            <w:tcW w:w="236"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rPr>
            </w:pPr>
          </w:p>
        </w:tc>
      </w:tr>
      <w:tr>
        <w:tblPrEx>
          <w:tblCellMar>
            <w:top w:w="0" w:type="dxa"/>
            <w:left w:w="108" w:type="dxa"/>
            <w:bottom w:w="0" w:type="dxa"/>
            <w:right w:w="108" w:type="dxa"/>
          </w:tblCellMar>
        </w:tblPrEx>
        <w:trPr>
          <w:gridAfter w:val="1"/>
          <w:wAfter w:w="236" w:type="dxa"/>
          <w:trHeight w:val="254" w:hRule="atLeast"/>
        </w:trPr>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主管部门及代码</w:t>
            </w:r>
          </w:p>
        </w:tc>
        <w:tc>
          <w:tcPr>
            <w:tcW w:w="34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205001－攀枝花市文化广播电视和旅游局</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实施单位</w:t>
            </w:r>
          </w:p>
        </w:tc>
        <w:tc>
          <w:tcPr>
            <w:tcW w:w="2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攀枝花中国三线建设博物馆</w:t>
            </w:r>
          </w:p>
        </w:tc>
      </w:tr>
      <w:tr>
        <w:tblPrEx>
          <w:tblCellMar>
            <w:top w:w="0" w:type="dxa"/>
            <w:left w:w="108" w:type="dxa"/>
            <w:bottom w:w="0" w:type="dxa"/>
            <w:right w:w="108" w:type="dxa"/>
          </w:tblCellMar>
        </w:tblPrEx>
        <w:trPr>
          <w:gridAfter w:val="1"/>
          <w:wAfter w:w="236" w:type="dxa"/>
          <w:trHeight w:val="341" w:hRule="atLeast"/>
        </w:trPr>
        <w:tc>
          <w:tcPr>
            <w:tcW w:w="1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项目预算</w:t>
            </w:r>
          </w:p>
          <w:p>
            <w:pPr>
              <w:widowControl/>
              <w:spacing w:line="320" w:lineRule="exact"/>
              <w:jc w:val="left"/>
              <w:textAlignment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执行情况</w:t>
            </w:r>
          </w:p>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（万元）</w:t>
            </w:r>
          </w:p>
        </w:tc>
        <w:tc>
          <w:tcPr>
            <w:tcW w:w="24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 xml:space="preserve"> 预算数：</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90.07</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 xml:space="preserve"> 执行数：</w:t>
            </w:r>
          </w:p>
        </w:tc>
        <w:tc>
          <w:tcPr>
            <w:tcW w:w="2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90.07</w:t>
            </w:r>
          </w:p>
        </w:tc>
      </w:tr>
      <w:tr>
        <w:tblPrEx>
          <w:tblCellMar>
            <w:top w:w="0" w:type="dxa"/>
            <w:left w:w="108" w:type="dxa"/>
            <w:bottom w:w="0" w:type="dxa"/>
            <w:right w:w="108" w:type="dxa"/>
          </w:tblCellMar>
        </w:tblPrEx>
        <w:trPr>
          <w:gridAfter w:val="1"/>
          <w:wAfter w:w="236" w:type="dxa"/>
          <w:trHeight w:val="555" w:hRule="atLeast"/>
        </w:trPr>
        <w:tc>
          <w:tcPr>
            <w:tcW w:w="1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cs="宋体" w:asciiTheme="minorEastAsia" w:hAnsiTheme="minorEastAsia" w:eastAsiaTheme="minorEastAsia"/>
                <w:sz w:val="20"/>
                <w:szCs w:val="20"/>
              </w:rPr>
            </w:pPr>
          </w:p>
        </w:tc>
        <w:tc>
          <w:tcPr>
            <w:tcW w:w="24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其中：</w:t>
            </w:r>
          </w:p>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财政拨款</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90.07</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其中：</w:t>
            </w:r>
          </w:p>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财政拨款</w:t>
            </w:r>
          </w:p>
        </w:tc>
        <w:tc>
          <w:tcPr>
            <w:tcW w:w="2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90.07</w:t>
            </w:r>
          </w:p>
        </w:tc>
      </w:tr>
      <w:tr>
        <w:tblPrEx>
          <w:tblCellMar>
            <w:top w:w="0" w:type="dxa"/>
            <w:left w:w="108" w:type="dxa"/>
            <w:bottom w:w="0" w:type="dxa"/>
            <w:right w:w="108" w:type="dxa"/>
          </w:tblCellMar>
        </w:tblPrEx>
        <w:trPr>
          <w:gridAfter w:val="1"/>
          <w:wAfter w:w="236" w:type="dxa"/>
          <w:trHeight w:val="341" w:hRule="atLeast"/>
        </w:trPr>
        <w:tc>
          <w:tcPr>
            <w:tcW w:w="1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cs="宋体" w:asciiTheme="minorEastAsia" w:hAnsiTheme="minorEastAsia" w:eastAsiaTheme="minorEastAsia"/>
                <w:sz w:val="20"/>
                <w:szCs w:val="20"/>
              </w:rPr>
            </w:pPr>
          </w:p>
        </w:tc>
        <w:tc>
          <w:tcPr>
            <w:tcW w:w="24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其他资金</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其他资金</w:t>
            </w:r>
          </w:p>
        </w:tc>
        <w:tc>
          <w:tcPr>
            <w:tcW w:w="2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p>
        </w:tc>
      </w:tr>
      <w:tr>
        <w:tblPrEx>
          <w:tblCellMar>
            <w:top w:w="0" w:type="dxa"/>
            <w:left w:w="108" w:type="dxa"/>
            <w:bottom w:w="0" w:type="dxa"/>
            <w:right w:w="108" w:type="dxa"/>
          </w:tblCellMar>
        </w:tblPrEx>
        <w:trPr>
          <w:gridAfter w:val="1"/>
          <w:wAfter w:w="236" w:type="dxa"/>
          <w:trHeight w:val="217" w:hRule="atLeast"/>
        </w:trPr>
        <w:tc>
          <w:tcPr>
            <w:tcW w:w="1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年度总体目标</w:t>
            </w:r>
          </w:p>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完成情况</w:t>
            </w:r>
          </w:p>
        </w:tc>
        <w:tc>
          <w:tcPr>
            <w:tcW w:w="34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预期目标</w:t>
            </w:r>
          </w:p>
        </w:tc>
        <w:tc>
          <w:tcPr>
            <w:tcW w:w="45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目标实际完成情况</w:t>
            </w:r>
          </w:p>
        </w:tc>
      </w:tr>
      <w:tr>
        <w:tblPrEx>
          <w:tblCellMar>
            <w:top w:w="0" w:type="dxa"/>
            <w:left w:w="108" w:type="dxa"/>
            <w:bottom w:w="0" w:type="dxa"/>
            <w:right w:w="108" w:type="dxa"/>
          </w:tblCellMar>
        </w:tblPrEx>
        <w:trPr>
          <w:gridAfter w:val="1"/>
          <w:wAfter w:w="236" w:type="dxa"/>
          <w:trHeight w:val="945" w:hRule="atLeast"/>
        </w:trPr>
        <w:tc>
          <w:tcPr>
            <w:tcW w:w="1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cs="宋体" w:asciiTheme="minorEastAsia" w:hAnsiTheme="minorEastAsia" w:eastAsiaTheme="minorEastAsia"/>
                <w:sz w:val="20"/>
                <w:szCs w:val="20"/>
              </w:rPr>
            </w:pPr>
          </w:p>
        </w:tc>
        <w:tc>
          <w:tcPr>
            <w:tcW w:w="3402" w:type="dxa"/>
            <w:gridSpan w:val="4"/>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保障文物事业发展，为参观者提供讲解服务，稳定博物馆人才队伍，有效保障博物馆正常运转和持续发展。</w:t>
            </w:r>
          </w:p>
        </w:tc>
        <w:tc>
          <w:tcPr>
            <w:tcW w:w="4505"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完成博物馆2021年18名编外合同制用工人员经费支付，每月需支付编外用工人员经费7.5万元，并于2021年12月完成全部支付。</w:t>
            </w:r>
            <w:r>
              <w:rPr>
                <w:rFonts w:cs="宋体" w:asciiTheme="minorEastAsia" w:hAnsiTheme="minorEastAsia" w:eastAsiaTheme="minorEastAsia"/>
                <w:sz w:val="20"/>
                <w:szCs w:val="20"/>
              </w:rPr>
              <w:tab/>
            </w:r>
          </w:p>
        </w:tc>
      </w:tr>
      <w:tr>
        <w:tblPrEx>
          <w:tblCellMar>
            <w:top w:w="0" w:type="dxa"/>
            <w:left w:w="108" w:type="dxa"/>
            <w:bottom w:w="0" w:type="dxa"/>
            <w:right w:w="108" w:type="dxa"/>
          </w:tblCellMar>
        </w:tblPrEx>
        <w:trPr>
          <w:gridAfter w:val="1"/>
          <w:wAfter w:w="236" w:type="dxa"/>
          <w:trHeight w:val="693" w:hRule="atLeast"/>
        </w:trPr>
        <w:tc>
          <w:tcPr>
            <w:tcW w:w="1668"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left"/>
              <w:textAlignment w:val="center"/>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年度绩效指标完成情况</w:t>
            </w:r>
          </w:p>
        </w:tc>
        <w:tc>
          <w:tcPr>
            <w:tcW w:w="99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left"/>
              <w:textAlignment w:val="center"/>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一级</w:t>
            </w:r>
          </w:p>
          <w:p>
            <w:pPr>
              <w:widowControl/>
              <w:spacing w:line="320" w:lineRule="exact"/>
              <w:jc w:val="left"/>
              <w:textAlignment w:val="center"/>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指标</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二级</w:t>
            </w:r>
          </w:p>
          <w:p>
            <w:pPr>
              <w:widowControl/>
              <w:spacing w:line="320" w:lineRule="exact"/>
              <w:jc w:val="left"/>
              <w:textAlignment w:val="center"/>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指标</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三级</w:t>
            </w:r>
          </w:p>
          <w:p>
            <w:pPr>
              <w:widowControl/>
              <w:spacing w:line="320" w:lineRule="exact"/>
              <w:jc w:val="left"/>
              <w:textAlignment w:val="center"/>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指标</w:t>
            </w: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预期指标值</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实际完成指标值</w:t>
            </w:r>
          </w:p>
        </w:tc>
      </w:tr>
      <w:tr>
        <w:tblPrEx>
          <w:tblCellMar>
            <w:top w:w="0" w:type="dxa"/>
            <w:left w:w="108" w:type="dxa"/>
            <w:bottom w:w="0" w:type="dxa"/>
            <w:right w:w="108" w:type="dxa"/>
          </w:tblCellMar>
        </w:tblPrEx>
        <w:trPr>
          <w:gridAfter w:val="1"/>
          <w:wAfter w:w="236" w:type="dxa"/>
          <w:trHeight w:val="415" w:hRule="atLeast"/>
        </w:trPr>
        <w:tc>
          <w:tcPr>
            <w:tcW w:w="1668"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完成</w:t>
            </w:r>
          </w:p>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指标</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数量指标</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编外聘用讲解员和文物事业发展人员</w:t>
            </w: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编外聘用讲解员8名，和文物事业发展人员10人</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编外聘用讲解员8名，文物事业发展人员10人</w:t>
            </w:r>
          </w:p>
        </w:tc>
      </w:tr>
      <w:tr>
        <w:tblPrEx>
          <w:tblCellMar>
            <w:top w:w="0" w:type="dxa"/>
            <w:left w:w="108" w:type="dxa"/>
            <w:bottom w:w="0" w:type="dxa"/>
            <w:right w:w="108" w:type="dxa"/>
          </w:tblCellMar>
        </w:tblPrEx>
        <w:trPr>
          <w:gridAfter w:val="1"/>
          <w:wAfter w:w="236" w:type="dxa"/>
          <w:trHeight w:val="415" w:hRule="atLeast"/>
        </w:trPr>
        <w:tc>
          <w:tcPr>
            <w:tcW w:w="1668"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cs="仿宋_GB2312" w:asciiTheme="minorEastAsia" w:hAnsiTheme="minorEastAsia" w:eastAsiaTheme="minorEastAsia"/>
                <w:sz w:val="20"/>
                <w:szCs w:val="20"/>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质量指标</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8名讲解员和10保障文物事业发展人员</w:t>
            </w: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为参观者提供讲解服务，充分发挥博物馆的教育作用，保障文物事业发展</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为参观者提供讲解服务，充分发挥博物馆的教育作用，保障文物事业发展</w:t>
            </w:r>
          </w:p>
        </w:tc>
      </w:tr>
      <w:tr>
        <w:tblPrEx>
          <w:tblCellMar>
            <w:top w:w="0" w:type="dxa"/>
            <w:left w:w="108" w:type="dxa"/>
            <w:bottom w:w="0" w:type="dxa"/>
            <w:right w:w="108" w:type="dxa"/>
          </w:tblCellMar>
        </w:tblPrEx>
        <w:trPr>
          <w:gridAfter w:val="1"/>
          <w:wAfter w:w="236" w:type="dxa"/>
          <w:trHeight w:val="415" w:hRule="atLeast"/>
        </w:trPr>
        <w:tc>
          <w:tcPr>
            <w:tcW w:w="1668"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cs="仿宋_GB2312" w:asciiTheme="minorEastAsia" w:hAnsiTheme="minorEastAsia" w:eastAsiaTheme="minorEastAsia"/>
                <w:sz w:val="20"/>
                <w:szCs w:val="20"/>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时效指标</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 指标1：按时完成工作任务</w:t>
            </w: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12个月</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12个月</w:t>
            </w:r>
          </w:p>
        </w:tc>
      </w:tr>
      <w:tr>
        <w:tblPrEx>
          <w:tblCellMar>
            <w:top w:w="0" w:type="dxa"/>
            <w:left w:w="108" w:type="dxa"/>
            <w:bottom w:w="0" w:type="dxa"/>
            <w:right w:w="108" w:type="dxa"/>
          </w:tblCellMar>
        </w:tblPrEx>
        <w:trPr>
          <w:gridAfter w:val="1"/>
          <w:wAfter w:w="236" w:type="dxa"/>
          <w:trHeight w:val="480" w:hRule="atLeast"/>
        </w:trPr>
        <w:tc>
          <w:tcPr>
            <w:tcW w:w="1668"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cs="仿宋_GB2312" w:asciiTheme="minorEastAsia" w:hAnsiTheme="minorEastAsia" w:eastAsiaTheme="minorEastAsia"/>
                <w:sz w:val="20"/>
                <w:szCs w:val="20"/>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成本指标</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 指标1：市级专项资金</w:t>
            </w: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90.07万元</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90.07万元</w:t>
            </w:r>
          </w:p>
        </w:tc>
      </w:tr>
      <w:tr>
        <w:tblPrEx>
          <w:tblCellMar>
            <w:top w:w="0" w:type="dxa"/>
            <w:left w:w="108" w:type="dxa"/>
            <w:bottom w:w="0" w:type="dxa"/>
            <w:right w:w="108" w:type="dxa"/>
          </w:tblCellMar>
        </w:tblPrEx>
        <w:trPr>
          <w:gridAfter w:val="1"/>
          <w:wAfter w:w="236" w:type="dxa"/>
          <w:trHeight w:val="480" w:hRule="atLeast"/>
        </w:trPr>
        <w:tc>
          <w:tcPr>
            <w:tcW w:w="1668"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效益</w:t>
            </w:r>
          </w:p>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指标</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经济效益指标</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p>
        </w:tc>
      </w:tr>
      <w:tr>
        <w:tblPrEx>
          <w:tblCellMar>
            <w:top w:w="0" w:type="dxa"/>
            <w:left w:w="108" w:type="dxa"/>
            <w:bottom w:w="0" w:type="dxa"/>
            <w:right w:w="108" w:type="dxa"/>
          </w:tblCellMar>
        </w:tblPrEx>
        <w:trPr>
          <w:gridAfter w:val="1"/>
          <w:wAfter w:w="236" w:type="dxa"/>
          <w:trHeight w:val="480" w:hRule="atLeast"/>
        </w:trPr>
        <w:tc>
          <w:tcPr>
            <w:tcW w:w="1668"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cs="仿宋_GB2312" w:asciiTheme="minorEastAsia" w:hAnsiTheme="minorEastAsia" w:eastAsiaTheme="minorEastAsia"/>
                <w:sz w:val="20"/>
                <w:szCs w:val="20"/>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社会效益指标</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凝聚强大精神力量</w:t>
            </w: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充分发挥博物馆文化阵地和教育作用</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充分发挥博物馆文化阵地和教育作用</w:t>
            </w:r>
          </w:p>
        </w:tc>
      </w:tr>
      <w:tr>
        <w:tblPrEx>
          <w:tblCellMar>
            <w:top w:w="0" w:type="dxa"/>
            <w:left w:w="108" w:type="dxa"/>
            <w:bottom w:w="0" w:type="dxa"/>
            <w:right w:w="108" w:type="dxa"/>
          </w:tblCellMar>
        </w:tblPrEx>
        <w:trPr>
          <w:gridAfter w:val="1"/>
          <w:wAfter w:w="236" w:type="dxa"/>
          <w:trHeight w:val="577" w:hRule="atLeast"/>
        </w:trPr>
        <w:tc>
          <w:tcPr>
            <w:tcW w:w="1668"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cs="仿宋_GB2312" w:asciiTheme="minorEastAsia" w:hAnsiTheme="minorEastAsia" w:eastAsiaTheme="minorEastAsia"/>
                <w:sz w:val="20"/>
                <w:szCs w:val="20"/>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生态效益指标</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p>
        </w:tc>
      </w:tr>
      <w:tr>
        <w:tblPrEx>
          <w:tblCellMar>
            <w:top w:w="0" w:type="dxa"/>
            <w:left w:w="108" w:type="dxa"/>
            <w:bottom w:w="0" w:type="dxa"/>
            <w:right w:w="108" w:type="dxa"/>
          </w:tblCellMar>
        </w:tblPrEx>
        <w:trPr>
          <w:gridAfter w:val="1"/>
          <w:wAfter w:w="236" w:type="dxa"/>
          <w:trHeight w:val="480" w:hRule="atLeast"/>
        </w:trPr>
        <w:tc>
          <w:tcPr>
            <w:tcW w:w="1668"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cs="仿宋_GB2312" w:asciiTheme="minorEastAsia" w:hAnsiTheme="minorEastAsia" w:eastAsiaTheme="minorEastAsia"/>
                <w:sz w:val="20"/>
                <w:szCs w:val="20"/>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可持续影响指标</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 “三线精神”传承</w:t>
            </w: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“三线精神”传承赓续，经济社会效益进一步彰显</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“三线精神”传承赓续，经济社会效益进一步彰显</w:t>
            </w:r>
          </w:p>
        </w:tc>
      </w:tr>
      <w:tr>
        <w:tblPrEx>
          <w:tblCellMar>
            <w:top w:w="0" w:type="dxa"/>
            <w:left w:w="108" w:type="dxa"/>
            <w:bottom w:w="0" w:type="dxa"/>
            <w:right w:w="108" w:type="dxa"/>
          </w:tblCellMar>
        </w:tblPrEx>
        <w:trPr>
          <w:gridAfter w:val="1"/>
          <w:wAfter w:w="236" w:type="dxa"/>
          <w:trHeight w:val="530" w:hRule="atLeast"/>
        </w:trPr>
        <w:tc>
          <w:tcPr>
            <w:tcW w:w="1668"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满意</w:t>
            </w:r>
          </w:p>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度指标</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满意度</w:t>
            </w:r>
          </w:p>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指标</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观众满意</w:t>
            </w: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观众95%以上满意</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观众95%以上满意</w:t>
            </w:r>
          </w:p>
        </w:tc>
      </w:tr>
    </w:tbl>
    <w:p>
      <w:pPr>
        <w:spacing w:line="600" w:lineRule="exact"/>
        <w:outlineLvl w:val="0"/>
        <w:rPr>
          <w:rFonts w:ascii="黑体" w:hAnsi="黑体" w:eastAsia="黑体"/>
          <w:sz w:val="44"/>
          <w:szCs w:val="44"/>
        </w:rPr>
      </w:pPr>
    </w:p>
    <w:p>
      <w:pPr>
        <w:spacing w:line="600" w:lineRule="exact"/>
        <w:outlineLvl w:val="0"/>
        <w:rPr>
          <w:rFonts w:ascii="黑体" w:hAnsi="黑体" w:eastAsia="黑体"/>
          <w:sz w:val="44"/>
          <w:szCs w:val="44"/>
        </w:rPr>
      </w:pPr>
    </w:p>
    <w:p>
      <w:pPr>
        <w:pStyle w:val="2"/>
        <w:spacing w:before="93"/>
      </w:pPr>
    </w:p>
    <w:tbl>
      <w:tblPr>
        <w:tblStyle w:val="12"/>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384"/>
        <w:gridCol w:w="709"/>
        <w:gridCol w:w="1276"/>
        <w:gridCol w:w="1701"/>
        <w:gridCol w:w="2096"/>
        <w:gridCol w:w="2409"/>
        <w:gridCol w:w="236"/>
      </w:tblGrid>
      <w:tr>
        <w:tblPrEx>
          <w:tblCellMar>
            <w:top w:w="0" w:type="dxa"/>
            <w:left w:w="108" w:type="dxa"/>
            <w:bottom w:w="0" w:type="dxa"/>
            <w:right w:w="108" w:type="dxa"/>
          </w:tblCellMar>
        </w:tblPrEx>
        <w:trPr>
          <w:trHeight w:val="675" w:hRule="atLeast"/>
        </w:trPr>
        <w:tc>
          <w:tcPr>
            <w:tcW w:w="9575" w:type="dxa"/>
            <w:gridSpan w:val="6"/>
            <w:tcBorders>
              <w:top w:val="nil"/>
              <w:left w:val="nil"/>
              <w:bottom w:val="nil"/>
              <w:right w:val="nil"/>
            </w:tcBorders>
            <w:shd w:val="clear" w:color="auto" w:fill="auto"/>
            <w:vAlign w:val="center"/>
          </w:tcPr>
          <w:p>
            <w:pPr>
              <w:widowControl/>
              <w:jc w:val="center"/>
              <w:textAlignment w:val="center"/>
              <w:rPr>
                <w:rFonts w:ascii="宋体" w:hAnsi="宋体" w:cs="宋体"/>
                <w:b/>
                <w:sz w:val="32"/>
                <w:szCs w:val="32"/>
              </w:rPr>
            </w:pPr>
            <w:r>
              <w:rPr>
                <w:rFonts w:hint="eastAsia" w:ascii="宋体" w:hAnsi="宋体" w:cs="宋体"/>
                <w:b/>
                <w:sz w:val="32"/>
                <w:szCs w:val="32"/>
              </w:rPr>
              <w:t>后勤保障经费项目绩效目标自评</w:t>
            </w:r>
          </w:p>
        </w:tc>
        <w:tc>
          <w:tcPr>
            <w:tcW w:w="236"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rPr>
            </w:pPr>
          </w:p>
        </w:tc>
      </w:tr>
      <w:tr>
        <w:tblPrEx>
          <w:tblCellMar>
            <w:top w:w="0" w:type="dxa"/>
            <w:left w:w="108" w:type="dxa"/>
            <w:bottom w:w="0" w:type="dxa"/>
            <w:right w:w="108" w:type="dxa"/>
          </w:tblCellMar>
        </w:tblPrEx>
        <w:trPr>
          <w:gridAfter w:val="1"/>
          <w:wAfter w:w="236" w:type="dxa"/>
          <w:trHeight w:val="254" w:hRule="atLeast"/>
        </w:trPr>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主管部门及代码</w:t>
            </w:r>
          </w:p>
        </w:tc>
        <w:tc>
          <w:tcPr>
            <w:tcW w:w="36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205001－攀枝花市文化广播电视和旅游局</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实施单位</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攀枝花中国三线建设博物馆</w:t>
            </w:r>
          </w:p>
        </w:tc>
      </w:tr>
      <w:tr>
        <w:tblPrEx>
          <w:tblCellMar>
            <w:top w:w="0" w:type="dxa"/>
            <w:left w:w="108" w:type="dxa"/>
            <w:bottom w:w="0" w:type="dxa"/>
            <w:right w:w="108" w:type="dxa"/>
          </w:tblCellMar>
        </w:tblPrEx>
        <w:trPr>
          <w:gridAfter w:val="1"/>
          <w:wAfter w:w="236" w:type="dxa"/>
          <w:trHeight w:val="341" w:hRule="atLeast"/>
        </w:trPr>
        <w:tc>
          <w:tcPr>
            <w:tcW w:w="13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项目预算</w:t>
            </w:r>
          </w:p>
          <w:p>
            <w:pPr>
              <w:widowControl/>
              <w:spacing w:line="320" w:lineRule="exact"/>
              <w:jc w:val="left"/>
              <w:textAlignment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执行情况</w:t>
            </w:r>
          </w:p>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（万元）</w:t>
            </w:r>
          </w:p>
        </w:tc>
        <w:tc>
          <w:tcPr>
            <w:tcW w:w="1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 xml:space="preserve"> 预算数：</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220</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 xml:space="preserve"> 执行数：</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220</w:t>
            </w:r>
          </w:p>
        </w:tc>
      </w:tr>
      <w:tr>
        <w:tblPrEx>
          <w:tblCellMar>
            <w:top w:w="0" w:type="dxa"/>
            <w:left w:w="108" w:type="dxa"/>
            <w:bottom w:w="0" w:type="dxa"/>
            <w:right w:w="108" w:type="dxa"/>
          </w:tblCellMar>
        </w:tblPrEx>
        <w:trPr>
          <w:gridAfter w:val="1"/>
          <w:wAfter w:w="236" w:type="dxa"/>
          <w:trHeight w:val="555" w:hRule="atLeast"/>
        </w:trPr>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cs="宋体" w:asciiTheme="minorEastAsia" w:hAnsiTheme="minorEastAsia" w:eastAsiaTheme="minorEastAsia"/>
                <w:sz w:val="20"/>
                <w:szCs w:val="20"/>
              </w:rPr>
            </w:pPr>
          </w:p>
        </w:tc>
        <w:tc>
          <w:tcPr>
            <w:tcW w:w="1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其中：</w:t>
            </w:r>
          </w:p>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财政拨款</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220</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其中：</w:t>
            </w:r>
          </w:p>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财政拨款</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220</w:t>
            </w:r>
          </w:p>
        </w:tc>
      </w:tr>
      <w:tr>
        <w:tblPrEx>
          <w:tblCellMar>
            <w:top w:w="0" w:type="dxa"/>
            <w:left w:w="108" w:type="dxa"/>
            <w:bottom w:w="0" w:type="dxa"/>
            <w:right w:w="108" w:type="dxa"/>
          </w:tblCellMar>
        </w:tblPrEx>
        <w:trPr>
          <w:gridAfter w:val="1"/>
          <w:wAfter w:w="236" w:type="dxa"/>
          <w:trHeight w:val="341" w:hRule="atLeast"/>
        </w:trPr>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cs="宋体" w:asciiTheme="minorEastAsia" w:hAnsiTheme="minorEastAsia" w:eastAsiaTheme="minorEastAsia"/>
                <w:sz w:val="20"/>
                <w:szCs w:val="20"/>
              </w:rPr>
            </w:pPr>
          </w:p>
        </w:tc>
        <w:tc>
          <w:tcPr>
            <w:tcW w:w="1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其他资金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其他资金</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p>
        </w:tc>
      </w:tr>
      <w:tr>
        <w:tblPrEx>
          <w:tblCellMar>
            <w:top w:w="0" w:type="dxa"/>
            <w:left w:w="108" w:type="dxa"/>
            <w:bottom w:w="0" w:type="dxa"/>
            <w:right w:w="108" w:type="dxa"/>
          </w:tblCellMar>
        </w:tblPrEx>
        <w:trPr>
          <w:gridAfter w:val="1"/>
          <w:wAfter w:w="236" w:type="dxa"/>
          <w:trHeight w:val="217" w:hRule="atLeast"/>
        </w:trPr>
        <w:tc>
          <w:tcPr>
            <w:tcW w:w="13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年度总体目标</w:t>
            </w:r>
          </w:p>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完成情况</w:t>
            </w:r>
          </w:p>
        </w:tc>
        <w:tc>
          <w:tcPr>
            <w:tcW w:w="36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预期目标</w:t>
            </w:r>
          </w:p>
        </w:tc>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目标实际完成情况</w:t>
            </w:r>
          </w:p>
        </w:tc>
      </w:tr>
      <w:tr>
        <w:tblPrEx>
          <w:tblCellMar>
            <w:top w:w="0" w:type="dxa"/>
            <w:left w:w="108" w:type="dxa"/>
            <w:bottom w:w="0" w:type="dxa"/>
            <w:right w:w="108" w:type="dxa"/>
          </w:tblCellMar>
        </w:tblPrEx>
        <w:trPr>
          <w:gridAfter w:val="1"/>
          <w:wAfter w:w="236" w:type="dxa"/>
          <w:trHeight w:val="797" w:hRule="atLeast"/>
        </w:trPr>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cs="宋体" w:asciiTheme="minorEastAsia" w:hAnsiTheme="minorEastAsia" w:eastAsiaTheme="minorEastAsia"/>
                <w:sz w:val="20"/>
                <w:szCs w:val="20"/>
              </w:rPr>
            </w:pPr>
          </w:p>
        </w:tc>
        <w:tc>
          <w:tcPr>
            <w:tcW w:w="3686"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做好博物馆的安全保卫、保洁、绿化、水电项目维护等后勤工作，确保博物馆的安全稳定运行</w:t>
            </w:r>
          </w:p>
        </w:tc>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ind w:firstLine="400" w:firstLineChars="200"/>
              <w:jc w:val="left"/>
              <w:textAlignment w:val="top"/>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按照要求完成了博物馆日常安全保卫、保洁、绿化、水电维护等相关工作和疫情期间的安全防护及消毒工作</w:t>
            </w:r>
          </w:p>
        </w:tc>
      </w:tr>
      <w:tr>
        <w:tblPrEx>
          <w:tblCellMar>
            <w:top w:w="0" w:type="dxa"/>
            <w:left w:w="108" w:type="dxa"/>
            <w:bottom w:w="0" w:type="dxa"/>
            <w:right w:w="108" w:type="dxa"/>
          </w:tblCellMar>
        </w:tblPrEx>
        <w:trPr>
          <w:gridAfter w:val="1"/>
          <w:wAfter w:w="236" w:type="dxa"/>
          <w:trHeight w:val="693" w:hRule="atLeast"/>
        </w:trPr>
        <w:tc>
          <w:tcPr>
            <w:tcW w:w="1384"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left"/>
              <w:textAlignment w:val="center"/>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年度绩效指标完成情况</w:t>
            </w:r>
          </w:p>
        </w:tc>
        <w:tc>
          <w:tcPr>
            <w:tcW w:w="709"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left"/>
              <w:textAlignment w:val="center"/>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一级</w:t>
            </w:r>
          </w:p>
          <w:p>
            <w:pPr>
              <w:widowControl/>
              <w:spacing w:line="320" w:lineRule="exact"/>
              <w:jc w:val="left"/>
              <w:textAlignment w:val="center"/>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指标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二级</w:t>
            </w:r>
          </w:p>
          <w:p>
            <w:pPr>
              <w:widowControl/>
              <w:spacing w:line="320" w:lineRule="exact"/>
              <w:jc w:val="left"/>
              <w:textAlignment w:val="center"/>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指标</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三级</w:t>
            </w:r>
          </w:p>
          <w:p>
            <w:pPr>
              <w:widowControl/>
              <w:spacing w:line="320" w:lineRule="exact"/>
              <w:jc w:val="left"/>
              <w:textAlignment w:val="center"/>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指标</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预期指标值</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实际完成指标值</w:t>
            </w:r>
          </w:p>
        </w:tc>
      </w:tr>
      <w:tr>
        <w:tblPrEx>
          <w:tblCellMar>
            <w:top w:w="0" w:type="dxa"/>
            <w:left w:w="108" w:type="dxa"/>
            <w:bottom w:w="0" w:type="dxa"/>
            <w:right w:w="108" w:type="dxa"/>
          </w:tblCellMar>
        </w:tblPrEx>
        <w:trPr>
          <w:gridAfter w:val="1"/>
          <w:wAfter w:w="236" w:type="dxa"/>
          <w:trHeight w:val="415" w:hRule="atLeast"/>
        </w:trPr>
        <w:tc>
          <w:tcPr>
            <w:tcW w:w="1384"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完成</w:t>
            </w:r>
          </w:p>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指标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数量指标</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水电维护；保洁、绿化工作；馆内重点部位安全</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水电维护20余次；保洁、绿化工作200余次；馆内重点部位安全保卫300余次</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水电维护20余次；保洁、绿化工作200余次；馆内重点部位安全保卫300余次</w:t>
            </w:r>
          </w:p>
        </w:tc>
      </w:tr>
      <w:tr>
        <w:tblPrEx>
          <w:tblCellMar>
            <w:top w:w="0" w:type="dxa"/>
            <w:left w:w="108" w:type="dxa"/>
            <w:bottom w:w="0" w:type="dxa"/>
            <w:right w:w="108" w:type="dxa"/>
          </w:tblCellMar>
        </w:tblPrEx>
        <w:trPr>
          <w:gridAfter w:val="1"/>
          <w:wAfter w:w="236" w:type="dxa"/>
          <w:trHeight w:val="415" w:hRule="atLeast"/>
        </w:trPr>
        <w:tc>
          <w:tcPr>
            <w:tcW w:w="1384"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cs="仿宋_GB2312" w:asciiTheme="minorEastAsia" w:hAnsiTheme="minorEastAsia" w:eastAsiaTheme="minorEastAsia"/>
                <w:sz w:val="20"/>
                <w:szCs w:val="20"/>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质量指标</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工作完成效果</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营造安全舒适的参观环境、保障游客及文物安全</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营造安全舒适的参观环境、保障游客及文物安全</w:t>
            </w:r>
          </w:p>
        </w:tc>
      </w:tr>
      <w:tr>
        <w:tblPrEx>
          <w:tblCellMar>
            <w:top w:w="0" w:type="dxa"/>
            <w:left w:w="108" w:type="dxa"/>
            <w:bottom w:w="0" w:type="dxa"/>
            <w:right w:w="108" w:type="dxa"/>
          </w:tblCellMar>
        </w:tblPrEx>
        <w:trPr>
          <w:gridAfter w:val="1"/>
          <w:wAfter w:w="236" w:type="dxa"/>
          <w:trHeight w:val="415" w:hRule="atLeast"/>
        </w:trPr>
        <w:tc>
          <w:tcPr>
            <w:tcW w:w="1384"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cs="仿宋_GB2312" w:asciiTheme="minorEastAsia" w:hAnsiTheme="minorEastAsia" w:eastAsiaTheme="minorEastAsia"/>
                <w:sz w:val="20"/>
                <w:szCs w:val="20"/>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时效指标</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项目覆盖完成时间</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2021年全年</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2021年覆盖全年的安保、物业工作</w:t>
            </w:r>
          </w:p>
        </w:tc>
      </w:tr>
      <w:tr>
        <w:tblPrEx>
          <w:tblCellMar>
            <w:top w:w="0" w:type="dxa"/>
            <w:left w:w="108" w:type="dxa"/>
            <w:bottom w:w="0" w:type="dxa"/>
            <w:right w:w="108" w:type="dxa"/>
          </w:tblCellMar>
        </w:tblPrEx>
        <w:trPr>
          <w:gridAfter w:val="1"/>
          <w:wAfter w:w="236" w:type="dxa"/>
          <w:trHeight w:val="480" w:hRule="atLeast"/>
        </w:trPr>
        <w:tc>
          <w:tcPr>
            <w:tcW w:w="1384"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cs="仿宋_GB2312" w:asciiTheme="minorEastAsia" w:hAnsiTheme="minorEastAsia" w:eastAsiaTheme="minorEastAsia"/>
                <w:sz w:val="20"/>
                <w:szCs w:val="20"/>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成本指标</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安保工作和物业服务劳务费</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安保154.992万元，物业64.84万元</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安保154.992万元，物业64.84万元</w:t>
            </w:r>
          </w:p>
        </w:tc>
      </w:tr>
      <w:tr>
        <w:tblPrEx>
          <w:tblCellMar>
            <w:top w:w="0" w:type="dxa"/>
            <w:left w:w="108" w:type="dxa"/>
            <w:bottom w:w="0" w:type="dxa"/>
            <w:right w:w="108" w:type="dxa"/>
          </w:tblCellMar>
        </w:tblPrEx>
        <w:trPr>
          <w:gridAfter w:val="1"/>
          <w:wAfter w:w="236" w:type="dxa"/>
          <w:trHeight w:val="480" w:hRule="atLeast"/>
        </w:trPr>
        <w:tc>
          <w:tcPr>
            <w:tcW w:w="1384"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效益</w:t>
            </w:r>
          </w:p>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指标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经济效益  指标</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p>
        </w:tc>
      </w:tr>
      <w:tr>
        <w:tblPrEx>
          <w:tblCellMar>
            <w:top w:w="0" w:type="dxa"/>
            <w:left w:w="108" w:type="dxa"/>
            <w:bottom w:w="0" w:type="dxa"/>
            <w:right w:w="108" w:type="dxa"/>
          </w:tblCellMar>
        </w:tblPrEx>
        <w:trPr>
          <w:gridAfter w:val="1"/>
          <w:wAfter w:w="236" w:type="dxa"/>
          <w:trHeight w:val="480" w:hRule="atLeast"/>
        </w:trPr>
        <w:tc>
          <w:tcPr>
            <w:tcW w:w="1384"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cs="仿宋_GB2312" w:asciiTheme="minorEastAsia" w:hAnsiTheme="minorEastAsia" w:eastAsiaTheme="minorEastAsia"/>
                <w:sz w:val="20"/>
                <w:szCs w:val="20"/>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社会效益  指标</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安全、整洁、舒适的参观环境</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提供安全、整洁、舒适的参观环境</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提供了安全、整洁、舒适的参观环境</w:t>
            </w:r>
          </w:p>
        </w:tc>
      </w:tr>
      <w:tr>
        <w:tblPrEx>
          <w:tblCellMar>
            <w:top w:w="0" w:type="dxa"/>
            <w:left w:w="108" w:type="dxa"/>
            <w:bottom w:w="0" w:type="dxa"/>
            <w:right w:w="108" w:type="dxa"/>
          </w:tblCellMar>
        </w:tblPrEx>
        <w:trPr>
          <w:gridAfter w:val="1"/>
          <w:wAfter w:w="236" w:type="dxa"/>
          <w:trHeight w:val="577" w:hRule="atLeast"/>
        </w:trPr>
        <w:tc>
          <w:tcPr>
            <w:tcW w:w="1384"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cs="仿宋_GB2312" w:asciiTheme="minorEastAsia" w:hAnsiTheme="minorEastAsia" w:eastAsiaTheme="minorEastAsia"/>
                <w:sz w:val="20"/>
                <w:szCs w:val="20"/>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ind w:left="383" w:leftChars="87" w:hanging="200" w:hangingChars="100"/>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生态效益  指标</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保障绿化环境</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保障绿化率</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绿化水平覆盖率有所提升</w:t>
            </w:r>
          </w:p>
        </w:tc>
      </w:tr>
      <w:tr>
        <w:tblPrEx>
          <w:tblCellMar>
            <w:top w:w="0" w:type="dxa"/>
            <w:left w:w="108" w:type="dxa"/>
            <w:bottom w:w="0" w:type="dxa"/>
            <w:right w:w="108" w:type="dxa"/>
          </w:tblCellMar>
        </w:tblPrEx>
        <w:trPr>
          <w:gridAfter w:val="1"/>
          <w:wAfter w:w="236" w:type="dxa"/>
          <w:trHeight w:val="480" w:hRule="atLeast"/>
        </w:trPr>
        <w:tc>
          <w:tcPr>
            <w:tcW w:w="1384"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cs="仿宋_GB2312" w:asciiTheme="minorEastAsia" w:hAnsiTheme="minorEastAsia" w:eastAsiaTheme="minorEastAsia"/>
                <w:sz w:val="20"/>
                <w:szCs w:val="20"/>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可持续影响 指标</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安全有序免费开放</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全年无安全责任事故</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全年安全责任事故0发生</w:t>
            </w:r>
          </w:p>
        </w:tc>
      </w:tr>
      <w:tr>
        <w:tblPrEx>
          <w:tblCellMar>
            <w:top w:w="0" w:type="dxa"/>
            <w:left w:w="108" w:type="dxa"/>
            <w:bottom w:w="0" w:type="dxa"/>
            <w:right w:w="108" w:type="dxa"/>
          </w:tblCellMar>
        </w:tblPrEx>
        <w:trPr>
          <w:gridAfter w:val="1"/>
          <w:wAfter w:w="236" w:type="dxa"/>
          <w:trHeight w:val="530" w:hRule="atLeast"/>
        </w:trPr>
        <w:tc>
          <w:tcPr>
            <w:tcW w:w="1384"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满意</w:t>
            </w:r>
          </w:p>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度指标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满意度</w:t>
            </w:r>
          </w:p>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指标</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服务对象满意度</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95%</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95%</w:t>
            </w:r>
          </w:p>
        </w:tc>
      </w:tr>
    </w:tbl>
    <w:p>
      <w:pPr>
        <w:spacing w:line="600" w:lineRule="exact"/>
        <w:outlineLvl w:val="0"/>
        <w:rPr>
          <w:rFonts w:ascii="黑体" w:hAnsi="黑体" w:eastAsia="黑体"/>
          <w:sz w:val="44"/>
          <w:szCs w:val="44"/>
        </w:rPr>
      </w:pPr>
    </w:p>
    <w:p>
      <w:pPr>
        <w:spacing w:line="600" w:lineRule="exact"/>
        <w:outlineLvl w:val="0"/>
        <w:rPr>
          <w:rFonts w:ascii="黑体" w:hAnsi="黑体" w:eastAsia="黑体"/>
          <w:sz w:val="44"/>
          <w:szCs w:val="44"/>
        </w:rPr>
      </w:pPr>
    </w:p>
    <w:tbl>
      <w:tblPr>
        <w:tblStyle w:val="12"/>
        <w:tblpPr w:leftFromText="180" w:rightFromText="180" w:vertAnchor="text" w:horzAnchor="page" w:tblpX="963" w:tblpY="660"/>
        <w:tblOverlap w:val="never"/>
        <w:tblW w:w="10443" w:type="dxa"/>
        <w:tblInd w:w="0" w:type="dxa"/>
        <w:tblLayout w:type="fixed"/>
        <w:tblCellMar>
          <w:top w:w="0" w:type="dxa"/>
          <w:left w:w="108" w:type="dxa"/>
          <w:bottom w:w="0" w:type="dxa"/>
          <w:right w:w="108" w:type="dxa"/>
        </w:tblCellMar>
      </w:tblPr>
      <w:tblGrid>
        <w:gridCol w:w="1101"/>
        <w:gridCol w:w="708"/>
        <w:gridCol w:w="1134"/>
        <w:gridCol w:w="1878"/>
        <w:gridCol w:w="2663"/>
        <w:gridCol w:w="2723"/>
        <w:gridCol w:w="236"/>
      </w:tblGrid>
      <w:tr>
        <w:tblPrEx>
          <w:tblCellMar>
            <w:top w:w="0" w:type="dxa"/>
            <w:left w:w="108" w:type="dxa"/>
            <w:bottom w:w="0" w:type="dxa"/>
            <w:right w:w="108" w:type="dxa"/>
          </w:tblCellMar>
        </w:tblPrEx>
        <w:trPr>
          <w:trHeight w:val="675" w:hRule="atLeast"/>
        </w:trPr>
        <w:tc>
          <w:tcPr>
            <w:tcW w:w="10207" w:type="dxa"/>
            <w:gridSpan w:val="6"/>
            <w:tcBorders>
              <w:top w:val="nil"/>
              <w:left w:val="nil"/>
              <w:bottom w:val="nil"/>
              <w:right w:val="nil"/>
            </w:tcBorders>
            <w:shd w:val="clear" w:color="auto" w:fill="auto"/>
            <w:vAlign w:val="center"/>
          </w:tcPr>
          <w:p>
            <w:pPr>
              <w:widowControl/>
              <w:textAlignment w:val="center"/>
              <w:rPr>
                <w:rFonts w:ascii="宋体" w:hAnsi="宋体" w:cs="宋体"/>
                <w:b/>
                <w:sz w:val="32"/>
                <w:szCs w:val="32"/>
              </w:rPr>
            </w:pPr>
          </w:p>
          <w:p>
            <w:pPr>
              <w:widowControl/>
              <w:jc w:val="center"/>
              <w:textAlignment w:val="center"/>
              <w:rPr>
                <w:rFonts w:ascii="宋体" w:hAnsi="宋体" w:cs="宋体"/>
                <w:b/>
                <w:sz w:val="32"/>
                <w:szCs w:val="32"/>
              </w:rPr>
            </w:pPr>
            <w:r>
              <w:rPr>
                <w:rFonts w:hint="eastAsia" w:ascii="宋体" w:hAnsi="宋体" w:cs="宋体"/>
                <w:b/>
                <w:sz w:val="32"/>
                <w:szCs w:val="32"/>
              </w:rPr>
              <w:t>配套休闲设施项目绩效目标自评</w:t>
            </w:r>
          </w:p>
        </w:tc>
        <w:tc>
          <w:tcPr>
            <w:tcW w:w="236"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rPr>
            </w:pPr>
          </w:p>
        </w:tc>
      </w:tr>
      <w:tr>
        <w:tblPrEx>
          <w:tblCellMar>
            <w:top w:w="0" w:type="dxa"/>
            <w:left w:w="108" w:type="dxa"/>
            <w:bottom w:w="0" w:type="dxa"/>
            <w:right w:w="108" w:type="dxa"/>
          </w:tblCellMar>
        </w:tblPrEx>
        <w:trPr>
          <w:gridAfter w:val="1"/>
          <w:wAfter w:w="236" w:type="dxa"/>
          <w:trHeight w:val="254"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主管部门及代码</w:t>
            </w:r>
          </w:p>
        </w:tc>
        <w:tc>
          <w:tcPr>
            <w:tcW w:w="3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205001－攀枝花市文化广播电视和旅游局</w:t>
            </w: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实施单位</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攀枝花中国三线建设博物馆</w:t>
            </w:r>
          </w:p>
        </w:tc>
      </w:tr>
      <w:tr>
        <w:tblPrEx>
          <w:tblCellMar>
            <w:top w:w="0" w:type="dxa"/>
            <w:left w:w="108" w:type="dxa"/>
            <w:bottom w:w="0" w:type="dxa"/>
            <w:right w:w="108" w:type="dxa"/>
          </w:tblCellMar>
        </w:tblPrEx>
        <w:trPr>
          <w:gridAfter w:val="1"/>
          <w:wAfter w:w="236" w:type="dxa"/>
          <w:trHeight w:val="341" w:hRule="atLeast"/>
        </w:trPr>
        <w:tc>
          <w:tcPr>
            <w:tcW w:w="11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项目预算</w:t>
            </w:r>
          </w:p>
          <w:p>
            <w:pPr>
              <w:widowControl/>
              <w:spacing w:line="320" w:lineRule="exact"/>
              <w:jc w:val="left"/>
              <w:textAlignment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执行情况</w:t>
            </w:r>
          </w:p>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（万元）</w:t>
            </w: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 xml:space="preserve"> 预算数：</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26.5</w:t>
            </w: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 xml:space="preserve"> 执行数：</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13.5</w:t>
            </w:r>
          </w:p>
        </w:tc>
      </w:tr>
      <w:tr>
        <w:tblPrEx>
          <w:tblCellMar>
            <w:top w:w="0" w:type="dxa"/>
            <w:left w:w="108" w:type="dxa"/>
            <w:bottom w:w="0" w:type="dxa"/>
            <w:right w:w="108" w:type="dxa"/>
          </w:tblCellMar>
        </w:tblPrEx>
        <w:trPr>
          <w:gridAfter w:val="1"/>
          <w:wAfter w:w="236" w:type="dxa"/>
          <w:trHeight w:val="555" w:hRule="atLeast"/>
        </w:trPr>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cs="宋体" w:asciiTheme="minorEastAsia" w:hAnsiTheme="minorEastAsia" w:eastAsiaTheme="minorEastAsia"/>
                <w:sz w:val="20"/>
                <w:szCs w:val="20"/>
              </w:rPr>
            </w:pP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其中：</w:t>
            </w:r>
          </w:p>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财政拨款</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26.5</w:t>
            </w: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其中：</w:t>
            </w:r>
          </w:p>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财政拨款</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13.5</w:t>
            </w:r>
          </w:p>
        </w:tc>
      </w:tr>
      <w:tr>
        <w:tblPrEx>
          <w:tblCellMar>
            <w:top w:w="0" w:type="dxa"/>
            <w:left w:w="108" w:type="dxa"/>
            <w:bottom w:w="0" w:type="dxa"/>
            <w:right w:w="108" w:type="dxa"/>
          </w:tblCellMar>
        </w:tblPrEx>
        <w:trPr>
          <w:gridAfter w:val="1"/>
          <w:wAfter w:w="236" w:type="dxa"/>
          <w:trHeight w:val="341" w:hRule="atLeast"/>
        </w:trPr>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cs="宋体" w:asciiTheme="minorEastAsia" w:hAnsiTheme="minorEastAsia" w:eastAsiaTheme="minorEastAsia"/>
                <w:sz w:val="20"/>
                <w:szCs w:val="20"/>
              </w:rPr>
            </w:pP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其他资金</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其他资金</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p>
        </w:tc>
      </w:tr>
      <w:tr>
        <w:tblPrEx>
          <w:tblCellMar>
            <w:top w:w="0" w:type="dxa"/>
            <w:left w:w="108" w:type="dxa"/>
            <w:bottom w:w="0" w:type="dxa"/>
            <w:right w:w="108" w:type="dxa"/>
          </w:tblCellMar>
        </w:tblPrEx>
        <w:trPr>
          <w:gridAfter w:val="1"/>
          <w:wAfter w:w="236" w:type="dxa"/>
          <w:trHeight w:val="217" w:hRule="atLeast"/>
        </w:trPr>
        <w:tc>
          <w:tcPr>
            <w:tcW w:w="11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年度总体目标</w:t>
            </w:r>
          </w:p>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完成情况</w:t>
            </w:r>
          </w:p>
        </w:tc>
        <w:tc>
          <w:tcPr>
            <w:tcW w:w="3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预期目标</w:t>
            </w:r>
          </w:p>
        </w:tc>
        <w:tc>
          <w:tcPr>
            <w:tcW w:w="53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目标实际完成情况</w:t>
            </w:r>
          </w:p>
        </w:tc>
      </w:tr>
      <w:tr>
        <w:tblPrEx>
          <w:tblCellMar>
            <w:top w:w="0" w:type="dxa"/>
            <w:left w:w="108" w:type="dxa"/>
            <w:bottom w:w="0" w:type="dxa"/>
            <w:right w:w="108" w:type="dxa"/>
          </w:tblCellMar>
        </w:tblPrEx>
        <w:trPr>
          <w:gridAfter w:val="1"/>
          <w:wAfter w:w="236" w:type="dxa"/>
          <w:trHeight w:val="797" w:hRule="atLeast"/>
        </w:trPr>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cs="宋体" w:asciiTheme="minorEastAsia" w:hAnsiTheme="minorEastAsia" w:eastAsiaTheme="minorEastAsia"/>
                <w:sz w:val="20"/>
                <w:szCs w:val="20"/>
              </w:rPr>
            </w:pPr>
          </w:p>
        </w:tc>
        <w:tc>
          <w:tcPr>
            <w:tcW w:w="3720"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提出三线文化旅游示范园区策划方案，为下步创建三线文化旅游示范园奠定基础，从而有效促进攀枝花红色文旅产业不断壮大，实现文旅经济高质量发展。</w:t>
            </w:r>
          </w:p>
        </w:tc>
        <w:tc>
          <w:tcPr>
            <w:tcW w:w="5386"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tabs>
                <w:tab w:val="left" w:pos="945"/>
              </w:tabs>
              <w:spacing w:line="320" w:lineRule="exact"/>
              <w:jc w:val="left"/>
              <w:textAlignment w:val="top"/>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2021年10月，已完成《攀枝花市三线文化旅游示范园区策划方案》，经初审，需对该方案进行修改调整后再行报送评审。</w:t>
            </w:r>
          </w:p>
        </w:tc>
      </w:tr>
      <w:tr>
        <w:tblPrEx>
          <w:tblCellMar>
            <w:top w:w="0" w:type="dxa"/>
            <w:left w:w="108" w:type="dxa"/>
            <w:bottom w:w="0" w:type="dxa"/>
            <w:right w:w="108" w:type="dxa"/>
          </w:tblCellMar>
        </w:tblPrEx>
        <w:trPr>
          <w:gridAfter w:val="1"/>
          <w:wAfter w:w="236" w:type="dxa"/>
          <w:trHeight w:val="693" w:hRule="atLeast"/>
        </w:trPr>
        <w:tc>
          <w:tcPr>
            <w:tcW w:w="1101"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left"/>
              <w:textAlignment w:val="center"/>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年度绩效指标完成情况</w:t>
            </w:r>
          </w:p>
        </w:tc>
        <w:tc>
          <w:tcPr>
            <w:tcW w:w="708"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left"/>
              <w:textAlignment w:val="center"/>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一级</w:t>
            </w:r>
          </w:p>
          <w:p>
            <w:pPr>
              <w:widowControl/>
              <w:spacing w:line="320" w:lineRule="exact"/>
              <w:jc w:val="left"/>
              <w:textAlignment w:val="center"/>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指标</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二级</w:t>
            </w:r>
          </w:p>
          <w:p>
            <w:pPr>
              <w:widowControl/>
              <w:spacing w:line="320" w:lineRule="exact"/>
              <w:jc w:val="left"/>
              <w:textAlignment w:val="center"/>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指标</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三级</w:t>
            </w:r>
          </w:p>
          <w:p>
            <w:pPr>
              <w:widowControl/>
              <w:spacing w:line="320" w:lineRule="exact"/>
              <w:jc w:val="left"/>
              <w:textAlignment w:val="center"/>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指标</w:t>
            </w: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预期指标值</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实际完成指标值</w:t>
            </w:r>
          </w:p>
        </w:tc>
      </w:tr>
      <w:tr>
        <w:tblPrEx>
          <w:tblCellMar>
            <w:top w:w="0" w:type="dxa"/>
            <w:left w:w="108" w:type="dxa"/>
            <w:bottom w:w="0" w:type="dxa"/>
            <w:right w:w="108" w:type="dxa"/>
          </w:tblCellMar>
        </w:tblPrEx>
        <w:trPr>
          <w:gridAfter w:val="1"/>
          <w:wAfter w:w="236" w:type="dxa"/>
          <w:trHeight w:val="415" w:hRule="atLeast"/>
        </w:trPr>
        <w:tc>
          <w:tcPr>
            <w:tcW w:w="1101"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完成</w:t>
            </w:r>
          </w:p>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指标</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数量指标</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策划服务</w:t>
            </w: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1</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1</w:t>
            </w:r>
          </w:p>
        </w:tc>
      </w:tr>
      <w:tr>
        <w:tblPrEx>
          <w:tblCellMar>
            <w:top w:w="0" w:type="dxa"/>
            <w:left w:w="108" w:type="dxa"/>
            <w:bottom w:w="0" w:type="dxa"/>
            <w:right w:w="108" w:type="dxa"/>
          </w:tblCellMar>
        </w:tblPrEx>
        <w:trPr>
          <w:gridAfter w:val="1"/>
          <w:wAfter w:w="236" w:type="dxa"/>
          <w:trHeight w:val="415" w:hRule="atLeast"/>
        </w:trPr>
        <w:tc>
          <w:tcPr>
            <w:tcW w:w="1101"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cs="仿宋_GB2312" w:asciiTheme="minorEastAsia" w:hAnsiTheme="minorEastAsia" w:eastAsiaTheme="minorEastAsia"/>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质量指标</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评审通过</w:t>
            </w: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评审通过</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评审通过</w:t>
            </w:r>
          </w:p>
        </w:tc>
      </w:tr>
      <w:tr>
        <w:tblPrEx>
          <w:tblCellMar>
            <w:top w:w="0" w:type="dxa"/>
            <w:left w:w="108" w:type="dxa"/>
            <w:bottom w:w="0" w:type="dxa"/>
            <w:right w:w="108" w:type="dxa"/>
          </w:tblCellMar>
        </w:tblPrEx>
        <w:trPr>
          <w:gridAfter w:val="1"/>
          <w:wAfter w:w="236" w:type="dxa"/>
          <w:trHeight w:val="415" w:hRule="atLeast"/>
        </w:trPr>
        <w:tc>
          <w:tcPr>
            <w:tcW w:w="1101"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cs="仿宋_GB2312" w:asciiTheme="minorEastAsia" w:hAnsiTheme="minorEastAsia" w:eastAsiaTheme="minorEastAsia"/>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时效指标</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项目完成时间</w:t>
            </w: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6个月</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5个月</w:t>
            </w:r>
          </w:p>
        </w:tc>
      </w:tr>
      <w:tr>
        <w:tblPrEx>
          <w:tblCellMar>
            <w:top w:w="0" w:type="dxa"/>
            <w:left w:w="108" w:type="dxa"/>
            <w:bottom w:w="0" w:type="dxa"/>
            <w:right w:w="108" w:type="dxa"/>
          </w:tblCellMar>
        </w:tblPrEx>
        <w:trPr>
          <w:gridAfter w:val="1"/>
          <w:wAfter w:w="236" w:type="dxa"/>
          <w:trHeight w:val="480" w:hRule="atLeast"/>
        </w:trPr>
        <w:tc>
          <w:tcPr>
            <w:tcW w:w="1101"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cs="仿宋_GB2312" w:asciiTheme="minorEastAsia" w:hAnsiTheme="minorEastAsia" w:eastAsiaTheme="minorEastAsia"/>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成本指标</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策划方案费用</w:t>
            </w: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26．5万</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13.5万，尾款待支付</w:t>
            </w:r>
          </w:p>
        </w:tc>
      </w:tr>
      <w:tr>
        <w:tblPrEx>
          <w:tblCellMar>
            <w:top w:w="0" w:type="dxa"/>
            <w:left w:w="108" w:type="dxa"/>
            <w:bottom w:w="0" w:type="dxa"/>
            <w:right w:w="108" w:type="dxa"/>
          </w:tblCellMar>
        </w:tblPrEx>
        <w:trPr>
          <w:gridAfter w:val="1"/>
          <w:wAfter w:w="236" w:type="dxa"/>
          <w:trHeight w:val="480" w:hRule="atLeast"/>
        </w:trPr>
        <w:tc>
          <w:tcPr>
            <w:tcW w:w="1101"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效益</w:t>
            </w:r>
          </w:p>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指标</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经济效益指标</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促进攀枝花红色文化旅游经济发展</w:t>
            </w: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进一步激发全市人民爱党爱国热情，营造积极向上的城市文化氛围，推动全市红色文旅产业发展</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进一步激发全市人民爱党爱国热情，营造积极向上的城市文化氛围，推动全市红色文旅产业发展</w:t>
            </w:r>
          </w:p>
        </w:tc>
      </w:tr>
      <w:tr>
        <w:tblPrEx>
          <w:tblCellMar>
            <w:top w:w="0" w:type="dxa"/>
            <w:left w:w="108" w:type="dxa"/>
            <w:bottom w:w="0" w:type="dxa"/>
            <w:right w:w="108" w:type="dxa"/>
          </w:tblCellMar>
        </w:tblPrEx>
        <w:trPr>
          <w:gridAfter w:val="1"/>
          <w:wAfter w:w="236" w:type="dxa"/>
          <w:trHeight w:val="480" w:hRule="atLeast"/>
        </w:trPr>
        <w:tc>
          <w:tcPr>
            <w:tcW w:w="1101"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cs="仿宋_GB2312" w:asciiTheme="minorEastAsia" w:hAnsiTheme="minorEastAsia" w:eastAsiaTheme="minorEastAsia"/>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社会效益指标</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凝聚强大精神力量</w:t>
            </w: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为推动全市高质量发展凝聚了强大的精神动力。</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为推动全市高质量发展凝聚了强大的精神动力。</w:t>
            </w:r>
          </w:p>
        </w:tc>
      </w:tr>
      <w:tr>
        <w:tblPrEx>
          <w:tblCellMar>
            <w:top w:w="0" w:type="dxa"/>
            <w:left w:w="108" w:type="dxa"/>
            <w:bottom w:w="0" w:type="dxa"/>
            <w:right w:w="108" w:type="dxa"/>
          </w:tblCellMar>
        </w:tblPrEx>
        <w:trPr>
          <w:gridAfter w:val="1"/>
          <w:wAfter w:w="236" w:type="dxa"/>
          <w:trHeight w:val="577" w:hRule="atLeast"/>
        </w:trPr>
        <w:tc>
          <w:tcPr>
            <w:tcW w:w="1101"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cs="仿宋_GB2312" w:asciiTheme="minorEastAsia" w:hAnsiTheme="minorEastAsia" w:eastAsiaTheme="minorEastAsia"/>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生态效益指标</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提升博物馆在区域内的生态文化核心地位</w:t>
            </w: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生态和文化环境改善，为推进攀枝花打造国际阳光康养旅游目的地，建设生态休闲宜居城市，融入成渝地区双城经济圈发挥作用。</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生态和文化环境进一步改善，为推进攀枝花打造国际阳光康养旅游目的地，建设生态休闲宜居城市，融入成渝地区双城经济圈发挥积极作用。</w:t>
            </w:r>
          </w:p>
        </w:tc>
      </w:tr>
      <w:tr>
        <w:tblPrEx>
          <w:tblCellMar>
            <w:top w:w="0" w:type="dxa"/>
            <w:left w:w="108" w:type="dxa"/>
            <w:bottom w:w="0" w:type="dxa"/>
            <w:right w:w="108" w:type="dxa"/>
          </w:tblCellMar>
        </w:tblPrEx>
        <w:trPr>
          <w:gridAfter w:val="1"/>
          <w:wAfter w:w="236" w:type="dxa"/>
          <w:trHeight w:val="480" w:hRule="atLeast"/>
        </w:trPr>
        <w:tc>
          <w:tcPr>
            <w:tcW w:w="1101"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cs="仿宋_GB2312" w:asciiTheme="minorEastAsia" w:hAnsiTheme="minorEastAsia" w:eastAsiaTheme="minorEastAsia"/>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可持续影响指标</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 “三线精神”传承</w:t>
            </w: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“三线精神”传承赓续，经济社会效益进一步彰显</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“三线精神”传承赓续，经济社会效益进一步彰显</w:t>
            </w:r>
          </w:p>
        </w:tc>
      </w:tr>
      <w:tr>
        <w:tblPrEx>
          <w:tblCellMar>
            <w:top w:w="0" w:type="dxa"/>
            <w:left w:w="108" w:type="dxa"/>
            <w:bottom w:w="0" w:type="dxa"/>
            <w:right w:w="108" w:type="dxa"/>
          </w:tblCellMar>
        </w:tblPrEx>
        <w:trPr>
          <w:gridAfter w:val="1"/>
          <w:wAfter w:w="236" w:type="dxa"/>
          <w:trHeight w:val="530" w:hRule="atLeast"/>
        </w:trPr>
        <w:tc>
          <w:tcPr>
            <w:tcW w:w="1101"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满意</w:t>
            </w:r>
          </w:p>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度指标</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满意度</w:t>
            </w:r>
          </w:p>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指标</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观众满意</w:t>
            </w: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观众95%以上满意</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观众95%以上满意</w:t>
            </w:r>
          </w:p>
        </w:tc>
      </w:tr>
    </w:tbl>
    <w:p>
      <w:pPr>
        <w:spacing w:line="600" w:lineRule="exact"/>
        <w:outlineLvl w:val="0"/>
        <w:rPr>
          <w:rFonts w:ascii="黑体" w:hAnsi="黑体" w:eastAsia="黑体"/>
          <w:sz w:val="44"/>
          <w:szCs w:val="44"/>
        </w:rPr>
      </w:pPr>
    </w:p>
    <w:p>
      <w:pPr>
        <w:spacing w:line="600" w:lineRule="exact"/>
        <w:outlineLvl w:val="0"/>
        <w:rPr>
          <w:rFonts w:ascii="黑体" w:hAnsi="黑体" w:eastAsia="黑体"/>
          <w:sz w:val="44"/>
          <w:szCs w:val="44"/>
        </w:rPr>
      </w:pPr>
    </w:p>
    <w:tbl>
      <w:tblPr>
        <w:tblStyle w:val="12"/>
        <w:tblpPr w:leftFromText="180" w:rightFromText="180" w:vertAnchor="text" w:horzAnchor="page" w:tblpX="1105" w:tblpY="660"/>
        <w:tblOverlap w:val="never"/>
        <w:tblW w:w="10443" w:type="dxa"/>
        <w:tblInd w:w="0" w:type="dxa"/>
        <w:tblLayout w:type="fixed"/>
        <w:tblCellMar>
          <w:top w:w="0" w:type="dxa"/>
          <w:left w:w="108" w:type="dxa"/>
          <w:bottom w:w="0" w:type="dxa"/>
          <w:right w:w="108" w:type="dxa"/>
        </w:tblCellMar>
      </w:tblPr>
      <w:tblGrid>
        <w:gridCol w:w="817"/>
        <w:gridCol w:w="992"/>
        <w:gridCol w:w="1134"/>
        <w:gridCol w:w="318"/>
        <w:gridCol w:w="1843"/>
        <w:gridCol w:w="2238"/>
        <w:gridCol w:w="172"/>
        <w:gridCol w:w="2693"/>
        <w:gridCol w:w="236"/>
      </w:tblGrid>
      <w:tr>
        <w:tblPrEx>
          <w:tblCellMar>
            <w:top w:w="0" w:type="dxa"/>
            <w:left w:w="108" w:type="dxa"/>
            <w:bottom w:w="0" w:type="dxa"/>
            <w:right w:w="108" w:type="dxa"/>
          </w:tblCellMar>
        </w:tblPrEx>
        <w:trPr>
          <w:trHeight w:val="675" w:hRule="atLeast"/>
        </w:trPr>
        <w:tc>
          <w:tcPr>
            <w:tcW w:w="10207" w:type="dxa"/>
            <w:gridSpan w:val="8"/>
            <w:tcBorders>
              <w:top w:val="nil"/>
              <w:left w:val="nil"/>
              <w:bottom w:val="nil"/>
              <w:right w:val="nil"/>
            </w:tcBorders>
            <w:shd w:val="clear" w:color="auto" w:fill="auto"/>
            <w:vAlign w:val="center"/>
          </w:tcPr>
          <w:p>
            <w:pPr>
              <w:widowControl/>
              <w:textAlignment w:val="center"/>
              <w:rPr>
                <w:rFonts w:ascii="宋体" w:hAnsi="宋体" w:cs="宋体"/>
                <w:b/>
                <w:sz w:val="32"/>
                <w:szCs w:val="32"/>
              </w:rPr>
            </w:pPr>
          </w:p>
          <w:p>
            <w:pPr>
              <w:widowControl/>
              <w:jc w:val="center"/>
              <w:textAlignment w:val="center"/>
              <w:rPr>
                <w:rFonts w:ascii="宋体" w:hAnsi="宋体" w:cs="宋体"/>
                <w:b/>
                <w:sz w:val="32"/>
                <w:szCs w:val="32"/>
              </w:rPr>
            </w:pPr>
            <w:r>
              <w:rPr>
                <w:rFonts w:hint="eastAsia" w:ascii="宋体" w:hAnsi="宋体" w:cs="宋体"/>
                <w:b/>
                <w:sz w:val="32"/>
                <w:szCs w:val="32"/>
              </w:rPr>
              <w:t>业务运行费项目绩效目标自评</w:t>
            </w:r>
          </w:p>
        </w:tc>
        <w:tc>
          <w:tcPr>
            <w:tcW w:w="236"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rPr>
            </w:pPr>
          </w:p>
        </w:tc>
      </w:tr>
      <w:tr>
        <w:tblPrEx>
          <w:tblCellMar>
            <w:top w:w="0" w:type="dxa"/>
            <w:left w:w="108" w:type="dxa"/>
            <w:bottom w:w="0" w:type="dxa"/>
            <w:right w:w="108" w:type="dxa"/>
          </w:tblCellMar>
        </w:tblPrEx>
        <w:trPr>
          <w:gridAfter w:val="1"/>
          <w:wAfter w:w="236" w:type="dxa"/>
          <w:trHeight w:val="254"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主管部门及代码</w:t>
            </w:r>
          </w:p>
        </w:tc>
        <w:tc>
          <w:tcPr>
            <w:tcW w:w="4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205001－攀枝花市文化广播电视和旅游局</w:t>
            </w: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实施单位</w:t>
            </w:r>
          </w:p>
        </w:tc>
        <w:tc>
          <w:tcPr>
            <w:tcW w:w="2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攀枝花中国三线建设博物馆</w:t>
            </w:r>
          </w:p>
        </w:tc>
      </w:tr>
      <w:tr>
        <w:tblPrEx>
          <w:tblCellMar>
            <w:top w:w="0" w:type="dxa"/>
            <w:left w:w="108" w:type="dxa"/>
            <w:bottom w:w="0" w:type="dxa"/>
            <w:right w:w="108" w:type="dxa"/>
          </w:tblCellMar>
        </w:tblPrEx>
        <w:trPr>
          <w:gridAfter w:val="1"/>
          <w:wAfter w:w="236" w:type="dxa"/>
          <w:trHeight w:val="341"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项目预算</w:t>
            </w:r>
          </w:p>
          <w:p>
            <w:pPr>
              <w:widowControl/>
              <w:spacing w:line="320" w:lineRule="exact"/>
              <w:jc w:val="left"/>
              <w:textAlignment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执行情况</w:t>
            </w:r>
          </w:p>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（万元）</w:t>
            </w:r>
          </w:p>
        </w:tc>
        <w:tc>
          <w:tcPr>
            <w:tcW w:w="24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 xml:space="preserve"> 预算数：</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100</w:t>
            </w: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 xml:space="preserve"> 执行数：</w:t>
            </w:r>
          </w:p>
        </w:tc>
        <w:tc>
          <w:tcPr>
            <w:tcW w:w="2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100</w:t>
            </w:r>
          </w:p>
        </w:tc>
      </w:tr>
      <w:tr>
        <w:tblPrEx>
          <w:tblCellMar>
            <w:top w:w="0" w:type="dxa"/>
            <w:left w:w="108" w:type="dxa"/>
            <w:bottom w:w="0" w:type="dxa"/>
            <w:right w:w="108" w:type="dxa"/>
          </w:tblCellMar>
        </w:tblPrEx>
        <w:trPr>
          <w:gridAfter w:val="1"/>
          <w:wAfter w:w="236" w:type="dxa"/>
          <w:trHeight w:val="555"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cs="宋体" w:asciiTheme="minorEastAsia" w:hAnsiTheme="minorEastAsia" w:eastAsiaTheme="minorEastAsia"/>
                <w:sz w:val="20"/>
                <w:szCs w:val="20"/>
              </w:rPr>
            </w:pPr>
          </w:p>
        </w:tc>
        <w:tc>
          <w:tcPr>
            <w:tcW w:w="24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其中：</w:t>
            </w:r>
          </w:p>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财政拨款</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100</w:t>
            </w: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其中：</w:t>
            </w:r>
          </w:p>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财政拨款</w:t>
            </w:r>
          </w:p>
        </w:tc>
        <w:tc>
          <w:tcPr>
            <w:tcW w:w="2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100</w:t>
            </w:r>
          </w:p>
        </w:tc>
      </w:tr>
      <w:tr>
        <w:tblPrEx>
          <w:tblCellMar>
            <w:top w:w="0" w:type="dxa"/>
            <w:left w:w="108" w:type="dxa"/>
            <w:bottom w:w="0" w:type="dxa"/>
            <w:right w:w="108" w:type="dxa"/>
          </w:tblCellMar>
        </w:tblPrEx>
        <w:trPr>
          <w:gridAfter w:val="1"/>
          <w:wAfter w:w="236" w:type="dxa"/>
          <w:trHeight w:val="341"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cs="宋体" w:asciiTheme="minorEastAsia" w:hAnsiTheme="minorEastAsia" w:eastAsiaTheme="minorEastAsia"/>
                <w:sz w:val="20"/>
                <w:szCs w:val="20"/>
              </w:rPr>
            </w:pPr>
          </w:p>
        </w:tc>
        <w:tc>
          <w:tcPr>
            <w:tcW w:w="24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其他资金</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其他资金</w:t>
            </w:r>
          </w:p>
        </w:tc>
        <w:tc>
          <w:tcPr>
            <w:tcW w:w="2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p>
        </w:tc>
      </w:tr>
      <w:tr>
        <w:tblPrEx>
          <w:tblCellMar>
            <w:top w:w="0" w:type="dxa"/>
            <w:left w:w="108" w:type="dxa"/>
            <w:bottom w:w="0" w:type="dxa"/>
            <w:right w:w="108" w:type="dxa"/>
          </w:tblCellMar>
        </w:tblPrEx>
        <w:trPr>
          <w:gridAfter w:val="1"/>
          <w:wAfter w:w="236" w:type="dxa"/>
          <w:trHeight w:val="217"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年度总体目标</w:t>
            </w:r>
          </w:p>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完成情况</w:t>
            </w:r>
          </w:p>
        </w:tc>
        <w:tc>
          <w:tcPr>
            <w:tcW w:w="4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预期目标</w:t>
            </w:r>
          </w:p>
        </w:tc>
        <w:tc>
          <w:tcPr>
            <w:tcW w:w="51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目标实际完成情况</w:t>
            </w:r>
          </w:p>
        </w:tc>
      </w:tr>
      <w:tr>
        <w:tblPrEx>
          <w:tblCellMar>
            <w:top w:w="0" w:type="dxa"/>
            <w:left w:w="108" w:type="dxa"/>
            <w:bottom w:w="0" w:type="dxa"/>
            <w:right w:w="108" w:type="dxa"/>
          </w:tblCellMar>
        </w:tblPrEx>
        <w:trPr>
          <w:gridAfter w:val="1"/>
          <w:wAfter w:w="236" w:type="dxa"/>
          <w:trHeight w:val="797"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cs="宋体" w:asciiTheme="minorEastAsia" w:hAnsiTheme="minorEastAsia" w:eastAsiaTheme="minorEastAsia"/>
                <w:sz w:val="20"/>
                <w:szCs w:val="20"/>
              </w:rPr>
            </w:pPr>
          </w:p>
        </w:tc>
        <w:tc>
          <w:tcPr>
            <w:tcW w:w="4287" w:type="dxa"/>
            <w:gridSpan w:val="4"/>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用于博物馆2021年水费、电费、电梯、电讯网络费、疫情防控物资采购、日常保洁物资消耗品采购和部分设施设备更换</w:t>
            </w:r>
          </w:p>
          <w:p>
            <w:pPr>
              <w:tabs>
                <w:tab w:val="left" w:pos="735"/>
              </w:tabs>
              <w:jc w:val="left"/>
              <w:rPr>
                <w:rFonts w:cs="宋体" w:asciiTheme="minorEastAsia" w:hAnsiTheme="minorEastAsia" w:eastAsiaTheme="minorEastAsia"/>
                <w:sz w:val="20"/>
                <w:szCs w:val="20"/>
              </w:rPr>
            </w:pPr>
            <w:r>
              <w:rPr>
                <w:rFonts w:cs="宋体" w:asciiTheme="minorEastAsia" w:hAnsiTheme="minorEastAsia" w:eastAsiaTheme="minorEastAsia"/>
                <w:sz w:val="20"/>
                <w:szCs w:val="20"/>
              </w:rPr>
              <w:tab/>
            </w:r>
          </w:p>
        </w:tc>
        <w:tc>
          <w:tcPr>
            <w:tcW w:w="5103"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按照要求完成了博物馆2021年各项日常业务运行</w:t>
            </w:r>
          </w:p>
          <w:p>
            <w:pPr>
              <w:jc w:val="left"/>
              <w:rPr>
                <w:rFonts w:cs="宋体" w:asciiTheme="minorEastAsia" w:hAnsiTheme="minorEastAsia" w:eastAsiaTheme="minorEastAsia"/>
                <w:sz w:val="20"/>
                <w:szCs w:val="20"/>
              </w:rPr>
            </w:pPr>
          </w:p>
        </w:tc>
      </w:tr>
      <w:tr>
        <w:tblPrEx>
          <w:tblCellMar>
            <w:top w:w="0" w:type="dxa"/>
            <w:left w:w="108" w:type="dxa"/>
            <w:bottom w:w="0" w:type="dxa"/>
            <w:right w:w="108" w:type="dxa"/>
          </w:tblCellMar>
        </w:tblPrEx>
        <w:trPr>
          <w:gridAfter w:val="1"/>
          <w:wAfter w:w="236" w:type="dxa"/>
          <w:trHeight w:val="693" w:hRule="atLeast"/>
        </w:trPr>
        <w:tc>
          <w:tcPr>
            <w:tcW w:w="817"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left"/>
              <w:textAlignment w:val="center"/>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年度绩效指标完成情况</w:t>
            </w:r>
          </w:p>
        </w:tc>
        <w:tc>
          <w:tcPr>
            <w:tcW w:w="99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left"/>
              <w:textAlignment w:val="center"/>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一级</w:t>
            </w:r>
          </w:p>
          <w:p>
            <w:pPr>
              <w:widowControl/>
              <w:spacing w:line="320" w:lineRule="exact"/>
              <w:jc w:val="left"/>
              <w:textAlignment w:val="center"/>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指标</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二级</w:t>
            </w:r>
          </w:p>
          <w:p>
            <w:pPr>
              <w:widowControl/>
              <w:spacing w:line="320" w:lineRule="exact"/>
              <w:jc w:val="left"/>
              <w:textAlignment w:val="center"/>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指标</w:t>
            </w:r>
          </w:p>
        </w:tc>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三级</w:t>
            </w:r>
          </w:p>
          <w:p>
            <w:pPr>
              <w:widowControl/>
              <w:spacing w:line="320" w:lineRule="exact"/>
              <w:jc w:val="left"/>
              <w:textAlignment w:val="center"/>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指标</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预期指标值</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实际完成指标值</w:t>
            </w:r>
          </w:p>
        </w:tc>
      </w:tr>
      <w:tr>
        <w:tblPrEx>
          <w:tblCellMar>
            <w:top w:w="0" w:type="dxa"/>
            <w:left w:w="108" w:type="dxa"/>
            <w:bottom w:w="0" w:type="dxa"/>
            <w:right w:w="108" w:type="dxa"/>
          </w:tblCellMar>
        </w:tblPrEx>
        <w:trPr>
          <w:gridAfter w:val="1"/>
          <w:wAfter w:w="236" w:type="dxa"/>
          <w:trHeight w:val="415" w:hRule="atLeast"/>
        </w:trPr>
        <w:tc>
          <w:tcPr>
            <w:tcW w:w="817"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完成</w:t>
            </w:r>
          </w:p>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指标</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数量指标</w:t>
            </w:r>
          </w:p>
        </w:tc>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水、电日常支出；疫情防控物资储备；保洁物资和设施设备更换</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水、电日常80万；疫情防控物资3万；保洁物资和设施设备更换17万</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水、电日常80万；疫情防控物资3万；保洁物资和设施设备更换17万</w:t>
            </w:r>
          </w:p>
        </w:tc>
      </w:tr>
      <w:tr>
        <w:tblPrEx>
          <w:tblCellMar>
            <w:top w:w="0" w:type="dxa"/>
            <w:left w:w="108" w:type="dxa"/>
            <w:bottom w:w="0" w:type="dxa"/>
            <w:right w:w="108" w:type="dxa"/>
          </w:tblCellMar>
        </w:tblPrEx>
        <w:trPr>
          <w:gridAfter w:val="1"/>
          <w:wAfter w:w="236" w:type="dxa"/>
          <w:trHeight w:val="415" w:hRule="atLeast"/>
        </w:trPr>
        <w:tc>
          <w:tcPr>
            <w:tcW w:w="817"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cs="仿宋_GB2312" w:asciiTheme="minorEastAsia" w:hAnsiTheme="minorEastAsia" w:eastAsiaTheme="minorEastAsia"/>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质量指标</w:t>
            </w:r>
          </w:p>
        </w:tc>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完成效果</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安全舒适的办公和参观环境、各项设备正常运转</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安全舒适的办公和参观环境、各项设备正常运转</w:t>
            </w:r>
          </w:p>
        </w:tc>
      </w:tr>
      <w:tr>
        <w:tblPrEx>
          <w:tblCellMar>
            <w:top w:w="0" w:type="dxa"/>
            <w:left w:w="108" w:type="dxa"/>
            <w:bottom w:w="0" w:type="dxa"/>
            <w:right w:w="108" w:type="dxa"/>
          </w:tblCellMar>
        </w:tblPrEx>
        <w:trPr>
          <w:gridAfter w:val="1"/>
          <w:wAfter w:w="236" w:type="dxa"/>
          <w:trHeight w:val="415" w:hRule="atLeast"/>
        </w:trPr>
        <w:tc>
          <w:tcPr>
            <w:tcW w:w="817"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cs="仿宋_GB2312" w:asciiTheme="minorEastAsia" w:hAnsiTheme="minorEastAsia" w:eastAsiaTheme="minorEastAsia"/>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时效指标</w:t>
            </w:r>
          </w:p>
        </w:tc>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项目开展时间</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2021年全年</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保障2021年基本运行</w:t>
            </w:r>
          </w:p>
        </w:tc>
      </w:tr>
      <w:tr>
        <w:tblPrEx>
          <w:tblCellMar>
            <w:top w:w="0" w:type="dxa"/>
            <w:left w:w="108" w:type="dxa"/>
            <w:bottom w:w="0" w:type="dxa"/>
            <w:right w:w="108" w:type="dxa"/>
          </w:tblCellMar>
        </w:tblPrEx>
        <w:trPr>
          <w:gridAfter w:val="1"/>
          <w:wAfter w:w="236" w:type="dxa"/>
          <w:trHeight w:val="480" w:hRule="atLeast"/>
        </w:trPr>
        <w:tc>
          <w:tcPr>
            <w:tcW w:w="817"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cs="仿宋_GB2312" w:asciiTheme="minorEastAsia" w:hAnsiTheme="minorEastAsia" w:eastAsiaTheme="minorEastAsia"/>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成本指标</w:t>
            </w:r>
          </w:p>
        </w:tc>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保障各项基本业务运行的费用</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100万</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100万</w:t>
            </w:r>
          </w:p>
        </w:tc>
      </w:tr>
      <w:tr>
        <w:tblPrEx>
          <w:tblCellMar>
            <w:top w:w="0" w:type="dxa"/>
            <w:left w:w="108" w:type="dxa"/>
            <w:bottom w:w="0" w:type="dxa"/>
            <w:right w:w="108" w:type="dxa"/>
          </w:tblCellMar>
        </w:tblPrEx>
        <w:trPr>
          <w:gridAfter w:val="1"/>
          <w:wAfter w:w="236" w:type="dxa"/>
          <w:trHeight w:val="480" w:hRule="atLeast"/>
        </w:trPr>
        <w:tc>
          <w:tcPr>
            <w:tcW w:w="817"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效益</w:t>
            </w:r>
          </w:p>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指标</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经济效益  指标</w:t>
            </w:r>
          </w:p>
        </w:tc>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p>
        </w:tc>
      </w:tr>
      <w:tr>
        <w:tblPrEx>
          <w:tblCellMar>
            <w:top w:w="0" w:type="dxa"/>
            <w:left w:w="108" w:type="dxa"/>
            <w:bottom w:w="0" w:type="dxa"/>
            <w:right w:w="108" w:type="dxa"/>
          </w:tblCellMar>
        </w:tblPrEx>
        <w:trPr>
          <w:gridAfter w:val="1"/>
          <w:wAfter w:w="236" w:type="dxa"/>
          <w:trHeight w:val="480" w:hRule="atLeast"/>
        </w:trPr>
        <w:tc>
          <w:tcPr>
            <w:tcW w:w="817"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cs="仿宋_GB2312" w:asciiTheme="minorEastAsia" w:hAnsiTheme="minorEastAsia" w:eastAsiaTheme="minorEastAsia"/>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社会效益  指标</w:t>
            </w:r>
          </w:p>
        </w:tc>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安全、稳定、健康接待参观游客</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安全、稳定、健康接待参观游客</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安全、稳定、健康接待参观游客</w:t>
            </w:r>
          </w:p>
        </w:tc>
      </w:tr>
      <w:tr>
        <w:tblPrEx>
          <w:tblCellMar>
            <w:top w:w="0" w:type="dxa"/>
            <w:left w:w="108" w:type="dxa"/>
            <w:bottom w:w="0" w:type="dxa"/>
            <w:right w:w="108" w:type="dxa"/>
          </w:tblCellMar>
        </w:tblPrEx>
        <w:trPr>
          <w:gridAfter w:val="1"/>
          <w:wAfter w:w="236" w:type="dxa"/>
          <w:trHeight w:val="577" w:hRule="atLeast"/>
        </w:trPr>
        <w:tc>
          <w:tcPr>
            <w:tcW w:w="817"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cs="仿宋_GB2312" w:asciiTheme="minorEastAsia" w:hAnsiTheme="minorEastAsia" w:eastAsiaTheme="minorEastAsia"/>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生态效益指标</w:t>
            </w:r>
          </w:p>
        </w:tc>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p>
        </w:tc>
      </w:tr>
      <w:tr>
        <w:tblPrEx>
          <w:tblCellMar>
            <w:top w:w="0" w:type="dxa"/>
            <w:left w:w="108" w:type="dxa"/>
            <w:bottom w:w="0" w:type="dxa"/>
            <w:right w:w="108" w:type="dxa"/>
          </w:tblCellMar>
        </w:tblPrEx>
        <w:trPr>
          <w:gridAfter w:val="1"/>
          <w:wAfter w:w="236" w:type="dxa"/>
          <w:trHeight w:val="480" w:hRule="atLeast"/>
        </w:trPr>
        <w:tc>
          <w:tcPr>
            <w:tcW w:w="817"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cs="仿宋_GB2312" w:asciiTheme="minorEastAsia" w:hAnsiTheme="minorEastAsia" w:eastAsiaTheme="minorEastAsia"/>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可持续影响指标</w:t>
            </w:r>
          </w:p>
        </w:tc>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各项设施设备正常运行</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全年设施设备正常运行</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全年设施设备正常运行</w:t>
            </w:r>
          </w:p>
        </w:tc>
      </w:tr>
      <w:tr>
        <w:tblPrEx>
          <w:tblCellMar>
            <w:top w:w="0" w:type="dxa"/>
            <w:left w:w="108" w:type="dxa"/>
            <w:bottom w:w="0" w:type="dxa"/>
            <w:right w:w="108" w:type="dxa"/>
          </w:tblCellMar>
        </w:tblPrEx>
        <w:trPr>
          <w:gridAfter w:val="1"/>
          <w:wAfter w:w="236" w:type="dxa"/>
          <w:trHeight w:val="530" w:hRule="atLeast"/>
        </w:trPr>
        <w:tc>
          <w:tcPr>
            <w:tcW w:w="817"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满意</w:t>
            </w:r>
          </w:p>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度指标</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满意度指标</w:t>
            </w:r>
          </w:p>
        </w:tc>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服务对象满意度</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游客参观满意度95%</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游客参观满意度98%</w:t>
            </w:r>
          </w:p>
        </w:tc>
      </w:tr>
    </w:tbl>
    <w:p>
      <w:pPr>
        <w:spacing w:line="600" w:lineRule="exact"/>
        <w:outlineLvl w:val="0"/>
        <w:rPr>
          <w:rFonts w:ascii="黑体" w:hAnsi="黑体" w:eastAsia="黑体"/>
          <w:sz w:val="44"/>
          <w:szCs w:val="44"/>
        </w:rPr>
      </w:pPr>
    </w:p>
    <w:p>
      <w:pPr>
        <w:spacing w:line="600" w:lineRule="exact"/>
        <w:outlineLvl w:val="0"/>
        <w:rPr>
          <w:rFonts w:ascii="黑体" w:hAnsi="黑体" w:eastAsia="黑体"/>
          <w:sz w:val="44"/>
          <w:szCs w:val="44"/>
        </w:rPr>
      </w:pPr>
    </w:p>
    <w:tbl>
      <w:tblPr>
        <w:tblStyle w:val="12"/>
        <w:tblpPr w:leftFromText="180" w:rightFromText="180" w:vertAnchor="text" w:horzAnchor="page" w:tblpX="963" w:tblpY="660"/>
        <w:tblOverlap w:val="never"/>
        <w:tblW w:w="10550" w:type="dxa"/>
        <w:tblInd w:w="0" w:type="dxa"/>
        <w:tblLayout w:type="fixed"/>
        <w:tblCellMar>
          <w:top w:w="0" w:type="dxa"/>
          <w:left w:w="108" w:type="dxa"/>
          <w:bottom w:w="0" w:type="dxa"/>
          <w:right w:w="108" w:type="dxa"/>
        </w:tblCellMar>
      </w:tblPr>
      <w:tblGrid>
        <w:gridCol w:w="1101"/>
        <w:gridCol w:w="708"/>
        <w:gridCol w:w="1134"/>
        <w:gridCol w:w="1843"/>
        <w:gridCol w:w="2693"/>
        <w:gridCol w:w="2835"/>
        <w:gridCol w:w="236"/>
      </w:tblGrid>
      <w:tr>
        <w:tblPrEx>
          <w:tblCellMar>
            <w:top w:w="0" w:type="dxa"/>
            <w:left w:w="108" w:type="dxa"/>
            <w:bottom w:w="0" w:type="dxa"/>
            <w:right w:w="108" w:type="dxa"/>
          </w:tblCellMar>
        </w:tblPrEx>
        <w:trPr>
          <w:trHeight w:val="675" w:hRule="atLeast"/>
        </w:trPr>
        <w:tc>
          <w:tcPr>
            <w:tcW w:w="10314" w:type="dxa"/>
            <w:gridSpan w:val="6"/>
            <w:tcBorders>
              <w:top w:val="nil"/>
              <w:left w:val="nil"/>
              <w:bottom w:val="nil"/>
              <w:right w:val="nil"/>
            </w:tcBorders>
            <w:shd w:val="clear" w:color="auto" w:fill="auto"/>
            <w:vAlign w:val="center"/>
          </w:tcPr>
          <w:p>
            <w:pPr>
              <w:widowControl/>
              <w:textAlignment w:val="center"/>
              <w:rPr>
                <w:rFonts w:ascii="宋体" w:hAnsi="宋体" w:cs="宋体"/>
                <w:b/>
                <w:sz w:val="32"/>
                <w:szCs w:val="32"/>
              </w:rPr>
            </w:pPr>
          </w:p>
          <w:p>
            <w:pPr>
              <w:widowControl/>
              <w:jc w:val="center"/>
              <w:textAlignment w:val="center"/>
              <w:rPr>
                <w:rFonts w:ascii="宋体" w:hAnsi="宋体" w:cs="宋体"/>
                <w:b/>
                <w:sz w:val="32"/>
                <w:szCs w:val="32"/>
              </w:rPr>
            </w:pPr>
            <w:r>
              <w:rPr>
                <w:rFonts w:hint="eastAsia" w:ascii="宋体" w:hAnsi="宋体" w:cs="宋体"/>
                <w:b/>
                <w:sz w:val="32"/>
                <w:szCs w:val="32"/>
              </w:rPr>
              <w:t>2021年讲解费项目绩效目标自评</w:t>
            </w:r>
          </w:p>
        </w:tc>
        <w:tc>
          <w:tcPr>
            <w:tcW w:w="236"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rPr>
            </w:pPr>
          </w:p>
        </w:tc>
      </w:tr>
      <w:tr>
        <w:tblPrEx>
          <w:tblCellMar>
            <w:top w:w="0" w:type="dxa"/>
            <w:left w:w="108" w:type="dxa"/>
            <w:bottom w:w="0" w:type="dxa"/>
            <w:right w:w="108" w:type="dxa"/>
          </w:tblCellMar>
        </w:tblPrEx>
        <w:trPr>
          <w:gridAfter w:val="1"/>
          <w:wAfter w:w="236" w:type="dxa"/>
          <w:trHeight w:val="254"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主管部门及代码</w:t>
            </w:r>
          </w:p>
        </w:tc>
        <w:tc>
          <w:tcPr>
            <w:tcW w:w="36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205001－攀枝花市文化广播电视和旅游局</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实施单位</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攀枝花中国三线建设博物馆</w:t>
            </w:r>
          </w:p>
        </w:tc>
      </w:tr>
      <w:tr>
        <w:tblPrEx>
          <w:tblCellMar>
            <w:top w:w="0" w:type="dxa"/>
            <w:left w:w="108" w:type="dxa"/>
            <w:bottom w:w="0" w:type="dxa"/>
            <w:right w:w="108" w:type="dxa"/>
          </w:tblCellMar>
        </w:tblPrEx>
        <w:trPr>
          <w:gridAfter w:val="1"/>
          <w:wAfter w:w="236" w:type="dxa"/>
          <w:trHeight w:val="341" w:hRule="atLeast"/>
        </w:trPr>
        <w:tc>
          <w:tcPr>
            <w:tcW w:w="11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项目预算</w:t>
            </w:r>
          </w:p>
          <w:p>
            <w:pPr>
              <w:widowControl/>
              <w:spacing w:line="320" w:lineRule="exact"/>
              <w:jc w:val="left"/>
              <w:textAlignment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执行情况</w:t>
            </w:r>
          </w:p>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（万元）</w:t>
            </w: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 xml:space="preserve"> 预算数：</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15</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 xml:space="preserve"> 执行数：</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15</w:t>
            </w:r>
          </w:p>
        </w:tc>
      </w:tr>
      <w:tr>
        <w:tblPrEx>
          <w:tblCellMar>
            <w:top w:w="0" w:type="dxa"/>
            <w:left w:w="108" w:type="dxa"/>
            <w:bottom w:w="0" w:type="dxa"/>
            <w:right w:w="108" w:type="dxa"/>
          </w:tblCellMar>
        </w:tblPrEx>
        <w:trPr>
          <w:gridAfter w:val="1"/>
          <w:wAfter w:w="236" w:type="dxa"/>
          <w:trHeight w:val="555" w:hRule="atLeast"/>
        </w:trPr>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cs="宋体" w:asciiTheme="minorEastAsia" w:hAnsiTheme="minorEastAsia" w:eastAsiaTheme="minorEastAsia"/>
                <w:sz w:val="20"/>
                <w:szCs w:val="20"/>
              </w:rPr>
            </w:pP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其中：</w:t>
            </w:r>
          </w:p>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财政拨款</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15</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其中：</w:t>
            </w:r>
          </w:p>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财政拨款</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15</w:t>
            </w:r>
          </w:p>
        </w:tc>
      </w:tr>
      <w:tr>
        <w:tblPrEx>
          <w:tblCellMar>
            <w:top w:w="0" w:type="dxa"/>
            <w:left w:w="108" w:type="dxa"/>
            <w:bottom w:w="0" w:type="dxa"/>
            <w:right w:w="108" w:type="dxa"/>
          </w:tblCellMar>
        </w:tblPrEx>
        <w:trPr>
          <w:gridAfter w:val="1"/>
          <w:wAfter w:w="236" w:type="dxa"/>
          <w:trHeight w:val="341" w:hRule="atLeast"/>
        </w:trPr>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cs="宋体" w:asciiTheme="minorEastAsia" w:hAnsiTheme="minorEastAsia" w:eastAsiaTheme="minorEastAsia"/>
                <w:sz w:val="20"/>
                <w:szCs w:val="20"/>
              </w:rPr>
            </w:pP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其他资金</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其他资金</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p>
        </w:tc>
      </w:tr>
      <w:tr>
        <w:tblPrEx>
          <w:tblCellMar>
            <w:top w:w="0" w:type="dxa"/>
            <w:left w:w="108" w:type="dxa"/>
            <w:bottom w:w="0" w:type="dxa"/>
            <w:right w:w="108" w:type="dxa"/>
          </w:tblCellMar>
        </w:tblPrEx>
        <w:trPr>
          <w:gridAfter w:val="1"/>
          <w:wAfter w:w="236" w:type="dxa"/>
          <w:trHeight w:val="217" w:hRule="atLeast"/>
        </w:trPr>
        <w:tc>
          <w:tcPr>
            <w:tcW w:w="11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年度总体目标</w:t>
            </w:r>
          </w:p>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完成情况</w:t>
            </w:r>
          </w:p>
        </w:tc>
        <w:tc>
          <w:tcPr>
            <w:tcW w:w="36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预期目标</w:t>
            </w:r>
          </w:p>
        </w:tc>
        <w:tc>
          <w:tcPr>
            <w:tcW w:w="5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目标实际完成情况</w:t>
            </w:r>
          </w:p>
        </w:tc>
      </w:tr>
      <w:tr>
        <w:tblPrEx>
          <w:tblCellMar>
            <w:top w:w="0" w:type="dxa"/>
            <w:left w:w="108" w:type="dxa"/>
            <w:bottom w:w="0" w:type="dxa"/>
            <w:right w:w="108" w:type="dxa"/>
          </w:tblCellMar>
        </w:tblPrEx>
        <w:trPr>
          <w:gridAfter w:val="1"/>
          <w:wAfter w:w="236" w:type="dxa"/>
          <w:trHeight w:val="797" w:hRule="atLeast"/>
        </w:trPr>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cs="宋体" w:asciiTheme="minorEastAsia" w:hAnsiTheme="minorEastAsia" w:eastAsiaTheme="minorEastAsia"/>
                <w:sz w:val="20"/>
                <w:szCs w:val="20"/>
              </w:rPr>
            </w:pPr>
          </w:p>
        </w:tc>
        <w:tc>
          <w:tcPr>
            <w:tcW w:w="3685"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全年完成讲解费收入及发放15万元以上。</w:t>
            </w:r>
          </w:p>
        </w:tc>
        <w:tc>
          <w:tcPr>
            <w:tcW w:w="5528"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2021年全年完成讲解费收入共19.661万元，余4.661万待发放。</w:t>
            </w:r>
          </w:p>
        </w:tc>
      </w:tr>
      <w:tr>
        <w:tblPrEx>
          <w:tblCellMar>
            <w:top w:w="0" w:type="dxa"/>
            <w:left w:w="108" w:type="dxa"/>
            <w:bottom w:w="0" w:type="dxa"/>
            <w:right w:w="108" w:type="dxa"/>
          </w:tblCellMar>
        </w:tblPrEx>
        <w:trPr>
          <w:gridAfter w:val="1"/>
          <w:wAfter w:w="236" w:type="dxa"/>
          <w:trHeight w:val="693" w:hRule="atLeast"/>
        </w:trPr>
        <w:tc>
          <w:tcPr>
            <w:tcW w:w="1101"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left"/>
              <w:textAlignment w:val="center"/>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年度绩效指标完成情况</w:t>
            </w:r>
          </w:p>
        </w:tc>
        <w:tc>
          <w:tcPr>
            <w:tcW w:w="708"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left"/>
              <w:textAlignment w:val="center"/>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一级</w:t>
            </w:r>
          </w:p>
          <w:p>
            <w:pPr>
              <w:widowControl/>
              <w:spacing w:line="320" w:lineRule="exact"/>
              <w:jc w:val="left"/>
              <w:textAlignment w:val="center"/>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指标</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二级</w:t>
            </w:r>
          </w:p>
          <w:p>
            <w:pPr>
              <w:widowControl/>
              <w:spacing w:line="320" w:lineRule="exact"/>
              <w:jc w:val="left"/>
              <w:textAlignment w:val="center"/>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指标</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三级</w:t>
            </w:r>
          </w:p>
          <w:p>
            <w:pPr>
              <w:widowControl/>
              <w:spacing w:line="320" w:lineRule="exact"/>
              <w:jc w:val="left"/>
              <w:textAlignment w:val="center"/>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指标</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预期指标值</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实际完成指标值</w:t>
            </w:r>
          </w:p>
        </w:tc>
      </w:tr>
      <w:tr>
        <w:tblPrEx>
          <w:tblCellMar>
            <w:top w:w="0" w:type="dxa"/>
            <w:left w:w="108" w:type="dxa"/>
            <w:bottom w:w="0" w:type="dxa"/>
            <w:right w:w="108" w:type="dxa"/>
          </w:tblCellMar>
        </w:tblPrEx>
        <w:trPr>
          <w:gridAfter w:val="1"/>
          <w:wAfter w:w="236" w:type="dxa"/>
          <w:trHeight w:val="415" w:hRule="atLeast"/>
        </w:trPr>
        <w:tc>
          <w:tcPr>
            <w:tcW w:w="1101"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完成</w:t>
            </w:r>
          </w:p>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指标</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数量指标</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1.参观接待批次和接待人次，2.社教活动开展次数，3.为观众提供服务次数和受益人数，4.免费讲解次数</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1.接待1600余批次，23.94万余人次2.社教活动开展5次3.为观众提供服务1500次，受益人数4500余人4.免费讲解300次，收益5000人次</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1.接待1600余批次，23.94万余人次2.社教活动开展7次3.为观众提供服务1500次，受益人数4500余人4.免费讲解500次，受益7000人次</w:t>
            </w:r>
          </w:p>
        </w:tc>
      </w:tr>
      <w:tr>
        <w:tblPrEx>
          <w:tblCellMar>
            <w:top w:w="0" w:type="dxa"/>
            <w:left w:w="108" w:type="dxa"/>
            <w:bottom w:w="0" w:type="dxa"/>
            <w:right w:w="108" w:type="dxa"/>
          </w:tblCellMar>
        </w:tblPrEx>
        <w:trPr>
          <w:gridAfter w:val="1"/>
          <w:wAfter w:w="236" w:type="dxa"/>
          <w:trHeight w:val="415" w:hRule="atLeast"/>
        </w:trPr>
        <w:tc>
          <w:tcPr>
            <w:tcW w:w="1101"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cs="仿宋_GB2312" w:asciiTheme="minorEastAsia" w:hAnsiTheme="minorEastAsia" w:eastAsiaTheme="minorEastAsia"/>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质量指标</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讲解任务完成率</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100%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100%</w:t>
            </w:r>
          </w:p>
        </w:tc>
      </w:tr>
      <w:tr>
        <w:tblPrEx>
          <w:tblCellMar>
            <w:top w:w="0" w:type="dxa"/>
            <w:left w:w="108" w:type="dxa"/>
            <w:bottom w:w="0" w:type="dxa"/>
            <w:right w:w="108" w:type="dxa"/>
          </w:tblCellMar>
        </w:tblPrEx>
        <w:trPr>
          <w:gridAfter w:val="1"/>
          <w:wAfter w:w="236" w:type="dxa"/>
          <w:trHeight w:val="415" w:hRule="atLeast"/>
        </w:trPr>
        <w:tc>
          <w:tcPr>
            <w:tcW w:w="1101"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cs="仿宋_GB2312" w:asciiTheme="minorEastAsia" w:hAnsiTheme="minorEastAsia" w:eastAsiaTheme="minorEastAsia"/>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时效指标</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2021年全年</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2021年全年</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2021年全年</w:t>
            </w:r>
          </w:p>
        </w:tc>
      </w:tr>
      <w:tr>
        <w:tblPrEx>
          <w:tblCellMar>
            <w:top w:w="0" w:type="dxa"/>
            <w:left w:w="108" w:type="dxa"/>
            <w:bottom w:w="0" w:type="dxa"/>
            <w:right w:w="108" w:type="dxa"/>
          </w:tblCellMar>
        </w:tblPrEx>
        <w:trPr>
          <w:gridAfter w:val="1"/>
          <w:wAfter w:w="236" w:type="dxa"/>
          <w:trHeight w:val="480" w:hRule="atLeast"/>
        </w:trPr>
        <w:tc>
          <w:tcPr>
            <w:tcW w:w="1101"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cs="仿宋_GB2312" w:asciiTheme="minorEastAsia" w:hAnsiTheme="minorEastAsia" w:eastAsiaTheme="minorEastAsia"/>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成本指标</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全年讲解费</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19.661万元</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19.661万元</w:t>
            </w:r>
          </w:p>
        </w:tc>
      </w:tr>
      <w:tr>
        <w:tblPrEx>
          <w:tblCellMar>
            <w:top w:w="0" w:type="dxa"/>
            <w:left w:w="108" w:type="dxa"/>
            <w:bottom w:w="0" w:type="dxa"/>
            <w:right w:w="108" w:type="dxa"/>
          </w:tblCellMar>
        </w:tblPrEx>
        <w:trPr>
          <w:gridAfter w:val="1"/>
          <w:wAfter w:w="236" w:type="dxa"/>
          <w:trHeight w:val="480" w:hRule="atLeast"/>
        </w:trPr>
        <w:tc>
          <w:tcPr>
            <w:tcW w:w="1101"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效益</w:t>
            </w:r>
          </w:p>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指标</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经济效益指标</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讲解员志愿者招募人数</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招募：20名成人志愿者和30名小小讲解员</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招募了：25名成人志愿者和30名小小讲解员</w:t>
            </w:r>
          </w:p>
        </w:tc>
      </w:tr>
      <w:tr>
        <w:tblPrEx>
          <w:tblCellMar>
            <w:top w:w="0" w:type="dxa"/>
            <w:left w:w="108" w:type="dxa"/>
            <w:bottom w:w="0" w:type="dxa"/>
            <w:right w:w="108" w:type="dxa"/>
          </w:tblCellMar>
        </w:tblPrEx>
        <w:trPr>
          <w:gridAfter w:val="1"/>
          <w:wAfter w:w="236" w:type="dxa"/>
          <w:trHeight w:val="480" w:hRule="atLeast"/>
        </w:trPr>
        <w:tc>
          <w:tcPr>
            <w:tcW w:w="1101"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cs="仿宋_GB2312" w:asciiTheme="minorEastAsia" w:hAnsiTheme="minorEastAsia" w:eastAsiaTheme="minorEastAsia"/>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社会效益指标</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提升讲解质量</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开展讲解员队伍培训5次</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开展讲解员队伍培训5次</w:t>
            </w:r>
          </w:p>
        </w:tc>
      </w:tr>
      <w:tr>
        <w:tblPrEx>
          <w:tblCellMar>
            <w:top w:w="0" w:type="dxa"/>
            <w:left w:w="108" w:type="dxa"/>
            <w:bottom w:w="0" w:type="dxa"/>
            <w:right w:w="108" w:type="dxa"/>
          </w:tblCellMar>
        </w:tblPrEx>
        <w:trPr>
          <w:gridAfter w:val="1"/>
          <w:wAfter w:w="236" w:type="dxa"/>
          <w:trHeight w:val="577" w:hRule="atLeast"/>
        </w:trPr>
        <w:tc>
          <w:tcPr>
            <w:tcW w:w="1101"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cs="仿宋_GB2312" w:asciiTheme="minorEastAsia" w:hAnsiTheme="minorEastAsia" w:eastAsiaTheme="minorEastAsia"/>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生态效益指标</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p>
        </w:tc>
      </w:tr>
      <w:tr>
        <w:tblPrEx>
          <w:tblCellMar>
            <w:top w:w="0" w:type="dxa"/>
            <w:left w:w="108" w:type="dxa"/>
            <w:bottom w:w="0" w:type="dxa"/>
            <w:right w:w="108" w:type="dxa"/>
          </w:tblCellMar>
        </w:tblPrEx>
        <w:trPr>
          <w:gridAfter w:val="1"/>
          <w:wAfter w:w="236" w:type="dxa"/>
          <w:trHeight w:val="480" w:hRule="atLeast"/>
        </w:trPr>
        <w:tc>
          <w:tcPr>
            <w:tcW w:w="1101"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cs="仿宋_GB2312" w:asciiTheme="minorEastAsia" w:hAnsiTheme="minorEastAsia" w:eastAsiaTheme="minorEastAsia"/>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可持续影响指标</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促进博物馆文旅融合事业、红色旅游事业发展</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 弘扬“三线文化”，进一步提升“三线精神”影响力</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对“三线文化”的传播和弘扬起到了积极的作用，进一步提升“三线精神”的辐射范围和影响力</w:t>
            </w:r>
          </w:p>
        </w:tc>
      </w:tr>
      <w:tr>
        <w:tblPrEx>
          <w:tblCellMar>
            <w:top w:w="0" w:type="dxa"/>
            <w:left w:w="108" w:type="dxa"/>
            <w:bottom w:w="0" w:type="dxa"/>
            <w:right w:w="108" w:type="dxa"/>
          </w:tblCellMar>
        </w:tblPrEx>
        <w:trPr>
          <w:gridAfter w:val="1"/>
          <w:wAfter w:w="236" w:type="dxa"/>
          <w:trHeight w:val="530" w:hRule="atLeast"/>
        </w:trPr>
        <w:tc>
          <w:tcPr>
            <w:tcW w:w="1101"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满意</w:t>
            </w:r>
          </w:p>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度指标</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满意度</w:t>
            </w:r>
          </w:p>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指标</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参观群众满意度</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群众满意度达到95%以上</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群众满意度达到95%以上</w:t>
            </w:r>
          </w:p>
        </w:tc>
      </w:tr>
    </w:tbl>
    <w:p>
      <w:pPr>
        <w:spacing w:line="600" w:lineRule="exact"/>
        <w:outlineLvl w:val="0"/>
        <w:rPr>
          <w:rFonts w:ascii="黑体" w:hAnsi="黑体" w:eastAsia="黑体"/>
          <w:sz w:val="44"/>
          <w:szCs w:val="44"/>
        </w:rPr>
      </w:pPr>
    </w:p>
    <w:p>
      <w:pPr>
        <w:spacing w:line="600" w:lineRule="exact"/>
        <w:outlineLvl w:val="0"/>
        <w:rPr>
          <w:rFonts w:ascii="黑体" w:hAnsi="黑体" w:eastAsia="黑体"/>
          <w:sz w:val="44"/>
          <w:szCs w:val="44"/>
        </w:rPr>
      </w:pPr>
    </w:p>
    <w:tbl>
      <w:tblPr>
        <w:tblStyle w:val="12"/>
        <w:tblpPr w:leftFromText="180" w:rightFromText="180" w:vertAnchor="text" w:horzAnchor="page" w:tblpX="963" w:tblpY="660"/>
        <w:tblOverlap w:val="never"/>
        <w:tblW w:w="10550" w:type="dxa"/>
        <w:tblInd w:w="0" w:type="dxa"/>
        <w:tblLayout w:type="fixed"/>
        <w:tblCellMar>
          <w:top w:w="0" w:type="dxa"/>
          <w:left w:w="108" w:type="dxa"/>
          <w:bottom w:w="0" w:type="dxa"/>
          <w:right w:w="108" w:type="dxa"/>
        </w:tblCellMar>
      </w:tblPr>
      <w:tblGrid>
        <w:gridCol w:w="534"/>
        <w:gridCol w:w="850"/>
        <w:gridCol w:w="709"/>
        <w:gridCol w:w="425"/>
        <w:gridCol w:w="2126"/>
        <w:gridCol w:w="1134"/>
        <w:gridCol w:w="1418"/>
        <w:gridCol w:w="567"/>
        <w:gridCol w:w="2551"/>
        <w:gridCol w:w="236"/>
      </w:tblGrid>
      <w:tr>
        <w:tblPrEx>
          <w:tblCellMar>
            <w:top w:w="0" w:type="dxa"/>
            <w:left w:w="108" w:type="dxa"/>
            <w:bottom w:w="0" w:type="dxa"/>
            <w:right w:w="108" w:type="dxa"/>
          </w:tblCellMar>
        </w:tblPrEx>
        <w:trPr>
          <w:trHeight w:val="675" w:hRule="atLeast"/>
        </w:trPr>
        <w:tc>
          <w:tcPr>
            <w:tcW w:w="10314" w:type="dxa"/>
            <w:gridSpan w:val="9"/>
            <w:tcBorders>
              <w:top w:val="nil"/>
              <w:left w:val="nil"/>
              <w:bottom w:val="nil"/>
              <w:right w:val="nil"/>
            </w:tcBorders>
            <w:shd w:val="clear" w:color="auto" w:fill="auto"/>
            <w:vAlign w:val="center"/>
          </w:tcPr>
          <w:p>
            <w:pPr>
              <w:widowControl/>
              <w:textAlignment w:val="center"/>
              <w:rPr>
                <w:rFonts w:ascii="宋体" w:hAnsi="宋体" w:cs="宋体"/>
                <w:b/>
                <w:sz w:val="32"/>
                <w:szCs w:val="32"/>
              </w:rPr>
            </w:pPr>
          </w:p>
          <w:p>
            <w:pPr>
              <w:widowControl/>
              <w:jc w:val="center"/>
              <w:textAlignment w:val="center"/>
              <w:rPr>
                <w:rFonts w:ascii="宋体" w:hAnsi="宋体" w:cs="宋体"/>
                <w:b/>
                <w:sz w:val="32"/>
                <w:szCs w:val="32"/>
              </w:rPr>
            </w:pPr>
            <w:r>
              <w:rPr>
                <w:rFonts w:hint="eastAsia" w:ascii="宋体" w:hAnsi="宋体" w:cs="宋体"/>
                <w:b/>
                <w:sz w:val="32"/>
                <w:szCs w:val="32"/>
              </w:rPr>
              <w:t>建党100周年美术展项目绩效目标自评</w:t>
            </w:r>
          </w:p>
        </w:tc>
        <w:tc>
          <w:tcPr>
            <w:tcW w:w="236"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rPr>
            </w:pPr>
          </w:p>
        </w:tc>
      </w:tr>
      <w:tr>
        <w:tblPrEx>
          <w:tblCellMar>
            <w:top w:w="0" w:type="dxa"/>
            <w:left w:w="108" w:type="dxa"/>
            <w:bottom w:w="0" w:type="dxa"/>
            <w:right w:w="108" w:type="dxa"/>
          </w:tblCellMar>
        </w:tblPrEx>
        <w:trPr>
          <w:gridAfter w:val="1"/>
          <w:wAfter w:w="236" w:type="dxa"/>
          <w:trHeight w:val="254" w:hRule="atLeast"/>
        </w:trPr>
        <w:tc>
          <w:tcPr>
            <w:tcW w:w="20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主管部门及代码</w:t>
            </w:r>
          </w:p>
        </w:tc>
        <w:tc>
          <w:tcPr>
            <w:tcW w:w="2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205001－攀枝花市文化广播电视和旅游局</w:t>
            </w:r>
          </w:p>
        </w:tc>
        <w:tc>
          <w:tcPr>
            <w:tcW w:w="3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实施单位</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攀枝花中国三线建设博物馆</w:t>
            </w:r>
          </w:p>
        </w:tc>
      </w:tr>
      <w:tr>
        <w:tblPrEx>
          <w:tblCellMar>
            <w:top w:w="0" w:type="dxa"/>
            <w:left w:w="108" w:type="dxa"/>
            <w:bottom w:w="0" w:type="dxa"/>
            <w:right w:w="108" w:type="dxa"/>
          </w:tblCellMar>
        </w:tblPrEx>
        <w:trPr>
          <w:gridAfter w:val="1"/>
          <w:wAfter w:w="236" w:type="dxa"/>
          <w:trHeight w:val="341" w:hRule="atLeast"/>
        </w:trPr>
        <w:tc>
          <w:tcPr>
            <w:tcW w:w="209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项目预算</w:t>
            </w:r>
          </w:p>
          <w:p>
            <w:pPr>
              <w:widowControl/>
              <w:spacing w:line="320" w:lineRule="exact"/>
              <w:jc w:val="left"/>
              <w:textAlignment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执行情况</w:t>
            </w:r>
          </w:p>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（万元）</w:t>
            </w:r>
          </w:p>
        </w:tc>
        <w:tc>
          <w:tcPr>
            <w:tcW w:w="2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 xml:space="preserve"> 预算数：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15</w:t>
            </w:r>
          </w:p>
        </w:tc>
        <w:tc>
          <w:tcPr>
            <w:tcW w:w="1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 xml:space="preserve"> 执行数：</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15</w:t>
            </w:r>
          </w:p>
        </w:tc>
      </w:tr>
      <w:tr>
        <w:tblPrEx>
          <w:tblCellMar>
            <w:top w:w="0" w:type="dxa"/>
            <w:left w:w="108" w:type="dxa"/>
            <w:bottom w:w="0" w:type="dxa"/>
            <w:right w:w="108" w:type="dxa"/>
          </w:tblCellMar>
        </w:tblPrEx>
        <w:trPr>
          <w:gridAfter w:val="1"/>
          <w:wAfter w:w="236" w:type="dxa"/>
          <w:trHeight w:val="555" w:hRule="atLeast"/>
        </w:trPr>
        <w:tc>
          <w:tcPr>
            <w:tcW w:w="209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cs="宋体" w:asciiTheme="minorEastAsia" w:hAnsiTheme="minorEastAsia" w:eastAsiaTheme="minorEastAsia"/>
                <w:sz w:val="20"/>
                <w:szCs w:val="20"/>
              </w:rPr>
            </w:pPr>
          </w:p>
        </w:tc>
        <w:tc>
          <w:tcPr>
            <w:tcW w:w="2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其中：</w:t>
            </w:r>
          </w:p>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财政拨款</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15</w:t>
            </w:r>
          </w:p>
        </w:tc>
        <w:tc>
          <w:tcPr>
            <w:tcW w:w="1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其中：</w:t>
            </w:r>
          </w:p>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财政拨款</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15</w:t>
            </w:r>
          </w:p>
        </w:tc>
      </w:tr>
      <w:tr>
        <w:tblPrEx>
          <w:tblCellMar>
            <w:top w:w="0" w:type="dxa"/>
            <w:left w:w="108" w:type="dxa"/>
            <w:bottom w:w="0" w:type="dxa"/>
            <w:right w:w="108" w:type="dxa"/>
          </w:tblCellMar>
        </w:tblPrEx>
        <w:trPr>
          <w:gridAfter w:val="1"/>
          <w:wAfter w:w="236" w:type="dxa"/>
          <w:trHeight w:val="341" w:hRule="atLeast"/>
        </w:trPr>
        <w:tc>
          <w:tcPr>
            <w:tcW w:w="209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cs="宋体" w:asciiTheme="minorEastAsia" w:hAnsiTheme="minorEastAsia" w:eastAsiaTheme="minorEastAsia"/>
                <w:sz w:val="20"/>
                <w:szCs w:val="20"/>
              </w:rPr>
            </w:pPr>
          </w:p>
        </w:tc>
        <w:tc>
          <w:tcPr>
            <w:tcW w:w="2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其他资金</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p>
        </w:tc>
        <w:tc>
          <w:tcPr>
            <w:tcW w:w="1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其他资金</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p>
        </w:tc>
      </w:tr>
      <w:tr>
        <w:tblPrEx>
          <w:tblCellMar>
            <w:top w:w="0" w:type="dxa"/>
            <w:left w:w="108" w:type="dxa"/>
            <w:bottom w:w="0" w:type="dxa"/>
            <w:right w:w="108" w:type="dxa"/>
          </w:tblCellMar>
        </w:tblPrEx>
        <w:trPr>
          <w:gridAfter w:val="1"/>
          <w:wAfter w:w="236" w:type="dxa"/>
          <w:trHeight w:val="217" w:hRule="atLeast"/>
        </w:trPr>
        <w:tc>
          <w:tcPr>
            <w:tcW w:w="5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年度总体目标</w:t>
            </w:r>
          </w:p>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完成情况</w:t>
            </w:r>
          </w:p>
        </w:tc>
        <w:tc>
          <w:tcPr>
            <w:tcW w:w="41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预期目标</w:t>
            </w:r>
          </w:p>
        </w:tc>
        <w:tc>
          <w:tcPr>
            <w:tcW w:w="56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目标实际完成情况</w:t>
            </w:r>
          </w:p>
        </w:tc>
      </w:tr>
      <w:tr>
        <w:tblPrEx>
          <w:tblCellMar>
            <w:top w:w="0" w:type="dxa"/>
            <w:left w:w="108" w:type="dxa"/>
            <w:bottom w:w="0" w:type="dxa"/>
            <w:right w:w="108" w:type="dxa"/>
          </w:tblCellMar>
        </w:tblPrEx>
        <w:trPr>
          <w:gridAfter w:val="1"/>
          <w:wAfter w:w="236" w:type="dxa"/>
          <w:trHeight w:val="797" w:hRule="atLeast"/>
        </w:trPr>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cs="宋体" w:asciiTheme="minorEastAsia" w:hAnsiTheme="minorEastAsia" w:eastAsiaTheme="minorEastAsia"/>
                <w:sz w:val="20"/>
                <w:szCs w:val="20"/>
              </w:rPr>
            </w:pPr>
          </w:p>
        </w:tc>
        <w:tc>
          <w:tcPr>
            <w:tcW w:w="4110" w:type="dxa"/>
            <w:gridSpan w:val="4"/>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围绕“建党100周年”主题，征集展出反映建市以来攀枝花不辱国家使命、再赴国家战略的英雄气概和历史功绩，反映攀枝花做实“两篇文章”、推进“两城”建设的求索之路和发展新貌，反映攀枝花凝心聚力圆满完成脱贫攻坚的伟大成就、万众一心抗击疫情、为全面建成小康社会而不懈奋斗的拼搏精神和动人事迹等方面的作品</w:t>
            </w:r>
          </w:p>
        </w:tc>
        <w:tc>
          <w:tcPr>
            <w:tcW w:w="5670" w:type="dxa"/>
            <w:gridSpan w:val="4"/>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1.制定策展方案。2021年3月，制定了《庆祝中国共产党成立100周年－－攀枝花美术作品展策划方案》2.启动作品征集。2021年4月，征集展出作品60件。3.制定开展仪式方案。2021年6月，博物馆制定了《庆祝中国共产党成立 100 周年—攀枝花美术作品展开展仪式方案》，并邀请各相关单位及领导同志参加开展仪式。4.举办美术作品展开展仪式。</w:t>
            </w:r>
          </w:p>
        </w:tc>
      </w:tr>
      <w:tr>
        <w:tblPrEx>
          <w:tblCellMar>
            <w:top w:w="0" w:type="dxa"/>
            <w:left w:w="108" w:type="dxa"/>
            <w:bottom w:w="0" w:type="dxa"/>
            <w:right w:w="108" w:type="dxa"/>
          </w:tblCellMar>
        </w:tblPrEx>
        <w:trPr>
          <w:gridAfter w:val="1"/>
          <w:wAfter w:w="236" w:type="dxa"/>
          <w:trHeight w:val="693" w:hRule="atLeast"/>
        </w:trPr>
        <w:tc>
          <w:tcPr>
            <w:tcW w:w="534"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left"/>
              <w:textAlignment w:val="center"/>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年度绩效指标完成情况</w:t>
            </w:r>
          </w:p>
        </w:tc>
        <w:tc>
          <w:tcPr>
            <w:tcW w:w="850"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left"/>
              <w:textAlignment w:val="center"/>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一级</w:t>
            </w:r>
          </w:p>
          <w:p>
            <w:pPr>
              <w:widowControl/>
              <w:spacing w:line="320" w:lineRule="exact"/>
              <w:jc w:val="left"/>
              <w:textAlignment w:val="center"/>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指标</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二级</w:t>
            </w:r>
          </w:p>
          <w:p>
            <w:pPr>
              <w:widowControl/>
              <w:spacing w:line="320" w:lineRule="exact"/>
              <w:jc w:val="left"/>
              <w:textAlignment w:val="center"/>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指标</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三级</w:t>
            </w:r>
          </w:p>
          <w:p>
            <w:pPr>
              <w:widowControl/>
              <w:spacing w:line="320" w:lineRule="exact"/>
              <w:jc w:val="left"/>
              <w:textAlignment w:val="center"/>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指标</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预期指标值</w:t>
            </w:r>
          </w:p>
        </w:tc>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实际完成指标值</w:t>
            </w:r>
          </w:p>
        </w:tc>
      </w:tr>
      <w:tr>
        <w:tblPrEx>
          <w:tblCellMar>
            <w:top w:w="0" w:type="dxa"/>
            <w:left w:w="108" w:type="dxa"/>
            <w:bottom w:w="0" w:type="dxa"/>
            <w:right w:w="108" w:type="dxa"/>
          </w:tblCellMar>
        </w:tblPrEx>
        <w:trPr>
          <w:gridAfter w:val="1"/>
          <w:wAfter w:w="236" w:type="dxa"/>
          <w:trHeight w:val="415" w:hRule="atLeast"/>
        </w:trPr>
        <w:tc>
          <w:tcPr>
            <w:tcW w:w="534"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完成</w:t>
            </w:r>
          </w:p>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指标</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数量指标</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美术作品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60件</w:t>
            </w:r>
          </w:p>
        </w:tc>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60件</w:t>
            </w:r>
          </w:p>
        </w:tc>
      </w:tr>
      <w:tr>
        <w:tblPrEx>
          <w:tblCellMar>
            <w:top w:w="0" w:type="dxa"/>
            <w:left w:w="108" w:type="dxa"/>
            <w:bottom w:w="0" w:type="dxa"/>
            <w:right w:w="108" w:type="dxa"/>
          </w:tblCellMar>
        </w:tblPrEx>
        <w:trPr>
          <w:gridAfter w:val="1"/>
          <w:wAfter w:w="236" w:type="dxa"/>
          <w:trHeight w:val="415" w:hRule="atLeast"/>
        </w:trPr>
        <w:tc>
          <w:tcPr>
            <w:tcW w:w="534"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cs="仿宋_GB2312" w:asciiTheme="minorEastAsia" w:hAnsiTheme="minorEastAsia" w:eastAsiaTheme="minorEastAsia"/>
                <w:sz w:val="20"/>
                <w:szCs w:val="20"/>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质量指标</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展示效果</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内容清晰、画面感强</w:t>
            </w:r>
          </w:p>
        </w:tc>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内容清晰、画面感强</w:t>
            </w:r>
          </w:p>
        </w:tc>
      </w:tr>
      <w:tr>
        <w:tblPrEx>
          <w:tblCellMar>
            <w:top w:w="0" w:type="dxa"/>
            <w:left w:w="108" w:type="dxa"/>
            <w:bottom w:w="0" w:type="dxa"/>
            <w:right w:w="108" w:type="dxa"/>
          </w:tblCellMar>
        </w:tblPrEx>
        <w:trPr>
          <w:gridAfter w:val="1"/>
          <w:wAfter w:w="236" w:type="dxa"/>
          <w:trHeight w:val="415" w:hRule="atLeast"/>
        </w:trPr>
        <w:tc>
          <w:tcPr>
            <w:tcW w:w="534"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cs="仿宋_GB2312" w:asciiTheme="minorEastAsia" w:hAnsiTheme="minorEastAsia" w:eastAsiaTheme="minorEastAsia"/>
                <w:sz w:val="20"/>
                <w:szCs w:val="20"/>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时效指标</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展览时间</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3个月</w:t>
            </w:r>
          </w:p>
        </w:tc>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3个月</w:t>
            </w:r>
          </w:p>
        </w:tc>
      </w:tr>
      <w:tr>
        <w:tblPrEx>
          <w:tblCellMar>
            <w:top w:w="0" w:type="dxa"/>
            <w:left w:w="108" w:type="dxa"/>
            <w:bottom w:w="0" w:type="dxa"/>
            <w:right w:w="108" w:type="dxa"/>
          </w:tblCellMar>
        </w:tblPrEx>
        <w:trPr>
          <w:gridAfter w:val="1"/>
          <w:wAfter w:w="236" w:type="dxa"/>
          <w:trHeight w:val="480" w:hRule="atLeast"/>
        </w:trPr>
        <w:tc>
          <w:tcPr>
            <w:tcW w:w="534"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cs="仿宋_GB2312" w:asciiTheme="minorEastAsia" w:hAnsiTheme="minorEastAsia" w:eastAsiaTheme="minorEastAsia"/>
                <w:sz w:val="20"/>
                <w:szCs w:val="20"/>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成本指标</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项目打造费用</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15万</w:t>
            </w:r>
          </w:p>
        </w:tc>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15万</w:t>
            </w:r>
          </w:p>
        </w:tc>
      </w:tr>
      <w:tr>
        <w:tblPrEx>
          <w:tblCellMar>
            <w:top w:w="0" w:type="dxa"/>
            <w:left w:w="108" w:type="dxa"/>
            <w:bottom w:w="0" w:type="dxa"/>
            <w:right w:w="108" w:type="dxa"/>
          </w:tblCellMar>
        </w:tblPrEx>
        <w:trPr>
          <w:gridAfter w:val="1"/>
          <w:wAfter w:w="236" w:type="dxa"/>
          <w:trHeight w:val="480" w:hRule="atLeast"/>
        </w:trPr>
        <w:tc>
          <w:tcPr>
            <w:tcW w:w="534"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效益</w:t>
            </w:r>
          </w:p>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指标</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经济效益  指标</w:t>
            </w:r>
          </w:p>
        </w:tc>
        <w:tc>
          <w:tcPr>
            <w:tcW w:w="2126"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促进攀枝花红色文化旅游经济发展</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激发人民爱党爱国热情，营造积极向上的城市文化氛围，推动红色文旅产业发展</w:t>
            </w:r>
          </w:p>
        </w:tc>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进一步激发全市人民爱党爱国热情，营造积极向上的城市文化氛围，推动全市红色文旅产业发展</w:t>
            </w:r>
          </w:p>
        </w:tc>
      </w:tr>
      <w:tr>
        <w:tblPrEx>
          <w:tblCellMar>
            <w:top w:w="0" w:type="dxa"/>
            <w:left w:w="108" w:type="dxa"/>
            <w:bottom w:w="0" w:type="dxa"/>
            <w:right w:w="108" w:type="dxa"/>
          </w:tblCellMar>
        </w:tblPrEx>
        <w:trPr>
          <w:gridAfter w:val="1"/>
          <w:wAfter w:w="236" w:type="dxa"/>
          <w:trHeight w:val="480" w:hRule="atLeast"/>
        </w:trPr>
        <w:tc>
          <w:tcPr>
            <w:tcW w:w="534"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cs="仿宋_GB2312" w:asciiTheme="minorEastAsia" w:hAnsiTheme="minorEastAsia" w:eastAsiaTheme="minorEastAsia"/>
                <w:sz w:val="20"/>
                <w:szCs w:val="20"/>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社会效益  指标</w:t>
            </w:r>
          </w:p>
        </w:tc>
        <w:tc>
          <w:tcPr>
            <w:tcW w:w="2126"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凝聚强大精神力量</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为推动全市高质量发展凝聚了强大的精神动力。</w:t>
            </w:r>
          </w:p>
        </w:tc>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为推动全市高质量发展凝聚了强大的精神动力。</w:t>
            </w:r>
          </w:p>
        </w:tc>
      </w:tr>
      <w:tr>
        <w:tblPrEx>
          <w:tblCellMar>
            <w:top w:w="0" w:type="dxa"/>
            <w:left w:w="108" w:type="dxa"/>
            <w:bottom w:w="0" w:type="dxa"/>
            <w:right w:w="108" w:type="dxa"/>
          </w:tblCellMar>
        </w:tblPrEx>
        <w:trPr>
          <w:gridAfter w:val="1"/>
          <w:wAfter w:w="236" w:type="dxa"/>
          <w:trHeight w:val="577" w:hRule="atLeast"/>
        </w:trPr>
        <w:tc>
          <w:tcPr>
            <w:tcW w:w="534"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cs="仿宋_GB2312" w:asciiTheme="minorEastAsia" w:hAnsiTheme="minorEastAsia" w:eastAsiaTheme="minorEastAsia"/>
                <w:sz w:val="20"/>
                <w:szCs w:val="20"/>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生态效益指标</w:t>
            </w:r>
          </w:p>
        </w:tc>
        <w:tc>
          <w:tcPr>
            <w:tcW w:w="2126"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提升博物馆生态文化核心地位</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生态和文化环境进一步改善</w:t>
            </w:r>
          </w:p>
        </w:tc>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生态和文化环境进一步改善</w:t>
            </w:r>
          </w:p>
        </w:tc>
      </w:tr>
      <w:tr>
        <w:tblPrEx>
          <w:tblCellMar>
            <w:top w:w="0" w:type="dxa"/>
            <w:left w:w="108" w:type="dxa"/>
            <w:bottom w:w="0" w:type="dxa"/>
            <w:right w:w="108" w:type="dxa"/>
          </w:tblCellMar>
        </w:tblPrEx>
        <w:trPr>
          <w:gridAfter w:val="1"/>
          <w:wAfter w:w="236" w:type="dxa"/>
          <w:trHeight w:val="480" w:hRule="atLeast"/>
        </w:trPr>
        <w:tc>
          <w:tcPr>
            <w:tcW w:w="534"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cs="仿宋_GB2312" w:asciiTheme="minorEastAsia" w:hAnsiTheme="minorEastAsia" w:eastAsiaTheme="minorEastAsia"/>
                <w:sz w:val="20"/>
                <w:szCs w:val="20"/>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可持续影响指标</w:t>
            </w:r>
          </w:p>
        </w:tc>
        <w:tc>
          <w:tcPr>
            <w:tcW w:w="2126"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 “三线精神”传承</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“三线精神”传承赓续，经济社会效益进一步彰显</w:t>
            </w:r>
          </w:p>
        </w:tc>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“三线精神”传承赓续，经济社会效益进一步彰显</w:t>
            </w:r>
          </w:p>
        </w:tc>
      </w:tr>
      <w:tr>
        <w:tblPrEx>
          <w:tblCellMar>
            <w:top w:w="0" w:type="dxa"/>
            <w:left w:w="108" w:type="dxa"/>
            <w:bottom w:w="0" w:type="dxa"/>
            <w:right w:w="108" w:type="dxa"/>
          </w:tblCellMar>
        </w:tblPrEx>
        <w:trPr>
          <w:gridAfter w:val="1"/>
          <w:wAfter w:w="236" w:type="dxa"/>
          <w:trHeight w:val="530" w:hRule="atLeast"/>
        </w:trPr>
        <w:tc>
          <w:tcPr>
            <w:tcW w:w="534"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满意</w:t>
            </w:r>
          </w:p>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度指标</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满意度</w:t>
            </w:r>
          </w:p>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指标</w:t>
            </w:r>
          </w:p>
        </w:tc>
        <w:tc>
          <w:tcPr>
            <w:tcW w:w="2126"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观众满意</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观众95%以上满意</w:t>
            </w:r>
          </w:p>
        </w:tc>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观众95%以上满意</w:t>
            </w:r>
          </w:p>
        </w:tc>
      </w:tr>
    </w:tbl>
    <w:p>
      <w:pPr>
        <w:spacing w:line="600" w:lineRule="exact"/>
        <w:outlineLvl w:val="0"/>
        <w:rPr>
          <w:rFonts w:ascii="黑体" w:hAnsi="黑体" w:eastAsia="黑体"/>
          <w:sz w:val="44"/>
          <w:szCs w:val="44"/>
        </w:rPr>
      </w:pPr>
    </w:p>
    <w:bookmarkEnd w:id="64"/>
    <w:bookmarkEnd w:id="67"/>
    <w:p>
      <w:pPr>
        <w:spacing w:line="600" w:lineRule="exact"/>
        <w:jc w:val="center"/>
        <w:outlineLvl w:val="0"/>
        <w:rPr>
          <w:rFonts w:eastAsia="仿宋"/>
        </w:rPr>
      </w:pPr>
      <w:bookmarkStart w:id="68" w:name="_Toc113008492"/>
      <w:bookmarkStart w:id="69" w:name="_Toc12418"/>
      <w:bookmarkStart w:id="70" w:name="_Toc15396619"/>
      <w:r>
        <w:rPr>
          <w:rFonts w:eastAsia="黑体"/>
          <w:sz w:val="44"/>
          <w:szCs w:val="44"/>
        </w:rPr>
        <w:t>第</w:t>
      </w:r>
      <w:r>
        <w:rPr>
          <w:rStyle w:val="24"/>
          <w:rFonts w:eastAsia="黑体"/>
          <w:b w:val="0"/>
        </w:rPr>
        <w:t>五部分 附表</w:t>
      </w:r>
      <w:bookmarkEnd w:id="68"/>
      <w:bookmarkEnd w:id="69"/>
    </w:p>
    <w:p>
      <w:pPr>
        <w:pStyle w:val="4"/>
        <w:spacing w:line="540" w:lineRule="exact"/>
        <w:rPr>
          <w:rFonts w:ascii="Times New Roman" w:hAnsi="Times New Roman" w:eastAsia="仿宋" w:cs="Times New Roman"/>
        </w:rPr>
      </w:pPr>
      <w:bookmarkStart w:id="71" w:name="_Toc8696"/>
      <w:bookmarkStart w:id="72" w:name="_Toc113008493"/>
      <w:r>
        <w:rPr>
          <w:rFonts w:ascii="Times New Roman" w:hAnsi="Times New Roman" w:eastAsia="仿宋" w:cs="Times New Roman"/>
          <w:b w:val="0"/>
        </w:rPr>
        <w:t>一、收</w:t>
      </w:r>
      <w:r>
        <w:rPr>
          <w:rStyle w:val="25"/>
          <w:rFonts w:ascii="Times New Roman" w:hAnsi="Times New Roman" w:eastAsia="仿宋" w:cs="Times New Roman"/>
          <w:b w:val="0"/>
          <w:bCs w:val="0"/>
        </w:rPr>
        <w:t>入支出决算总表</w:t>
      </w:r>
      <w:bookmarkEnd w:id="71"/>
      <w:bookmarkEnd w:id="72"/>
    </w:p>
    <w:p>
      <w:pPr>
        <w:pStyle w:val="4"/>
        <w:spacing w:line="540" w:lineRule="exact"/>
        <w:rPr>
          <w:rFonts w:ascii="Times New Roman" w:hAnsi="Times New Roman" w:eastAsia="仿宋" w:cs="Times New Roman"/>
        </w:rPr>
      </w:pPr>
      <w:bookmarkStart w:id="73" w:name="_Toc11745"/>
      <w:bookmarkStart w:id="74" w:name="_Toc113008494"/>
      <w:r>
        <w:rPr>
          <w:rFonts w:ascii="Times New Roman" w:hAnsi="Times New Roman" w:eastAsia="仿宋" w:cs="Times New Roman"/>
          <w:b w:val="0"/>
        </w:rPr>
        <w:t>二、收</w:t>
      </w:r>
      <w:r>
        <w:rPr>
          <w:rStyle w:val="25"/>
          <w:rFonts w:ascii="Times New Roman" w:hAnsi="Times New Roman" w:eastAsia="仿宋" w:cs="Times New Roman"/>
          <w:b w:val="0"/>
          <w:bCs w:val="0"/>
        </w:rPr>
        <w:t>入决算表</w:t>
      </w:r>
      <w:bookmarkEnd w:id="73"/>
      <w:bookmarkEnd w:id="74"/>
    </w:p>
    <w:p>
      <w:pPr>
        <w:pStyle w:val="4"/>
        <w:spacing w:line="540" w:lineRule="exact"/>
        <w:rPr>
          <w:rFonts w:ascii="Times New Roman" w:hAnsi="Times New Roman" w:eastAsia="仿宋" w:cs="Times New Roman"/>
        </w:rPr>
      </w:pPr>
      <w:bookmarkStart w:id="75" w:name="_Toc5754"/>
      <w:bookmarkStart w:id="76" w:name="_Toc113008495"/>
      <w:r>
        <w:rPr>
          <w:rStyle w:val="25"/>
          <w:rFonts w:ascii="Times New Roman" w:hAnsi="Times New Roman" w:eastAsia="仿宋" w:cs="Times New Roman"/>
          <w:b w:val="0"/>
          <w:bCs w:val="0"/>
        </w:rPr>
        <w:t>三、</w:t>
      </w:r>
      <w:r>
        <w:rPr>
          <w:rFonts w:ascii="Times New Roman" w:hAnsi="Times New Roman" w:eastAsia="仿宋" w:cs="Times New Roman"/>
          <w:b w:val="0"/>
        </w:rPr>
        <w:t>支</w:t>
      </w:r>
      <w:r>
        <w:rPr>
          <w:rStyle w:val="25"/>
          <w:rFonts w:ascii="Times New Roman" w:hAnsi="Times New Roman" w:eastAsia="仿宋" w:cs="Times New Roman"/>
          <w:b w:val="0"/>
          <w:bCs w:val="0"/>
        </w:rPr>
        <w:t>出决算表</w:t>
      </w:r>
      <w:bookmarkEnd w:id="75"/>
      <w:bookmarkEnd w:id="76"/>
    </w:p>
    <w:p>
      <w:pPr>
        <w:pStyle w:val="4"/>
        <w:spacing w:line="540" w:lineRule="exact"/>
        <w:rPr>
          <w:rFonts w:ascii="Times New Roman" w:hAnsi="Times New Roman" w:eastAsia="仿宋" w:cs="Times New Roman"/>
          <w:b w:val="0"/>
        </w:rPr>
      </w:pPr>
      <w:bookmarkStart w:id="77" w:name="_Toc28709"/>
      <w:bookmarkStart w:id="78" w:name="_Toc113008496"/>
      <w:r>
        <w:rPr>
          <w:rStyle w:val="25"/>
          <w:rFonts w:ascii="Times New Roman" w:hAnsi="Times New Roman" w:eastAsia="仿宋" w:cs="Times New Roman"/>
          <w:b w:val="0"/>
          <w:bCs w:val="0"/>
        </w:rPr>
        <w:t>四、</w:t>
      </w:r>
      <w:r>
        <w:rPr>
          <w:rFonts w:ascii="Times New Roman" w:hAnsi="Times New Roman" w:eastAsia="仿宋" w:cs="Times New Roman"/>
          <w:b w:val="0"/>
        </w:rPr>
        <w:t>财</w:t>
      </w:r>
      <w:r>
        <w:rPr>
          <w:rStyle w:val="25"/>
          <w:rFonts w:ascii="Times New Roman" w:hAnsi="Times New Roman" w:eastAsia="仿宋" w:cs="Times New Roman"/>
          <w:b w:val="0"/>
          <w:bCs w:val="0"/>
        </w:rPr>
        <w:t>政拨款收入支出决算总表</w:t>
      </w:r>
      <w:bookmarkEnd w:id="77"/>
      <w:bookmarkEnd w:id="78"/>
    </w:p>
    <w:p>
      <w:pPr>
        <w:pStyle w:val="4"/>
        <w:spacing w:line="540" w:lineRule="exact"/>
        <w:rPr>
          <w:rStyle w:val="25"/>
          <w:rFonts w:ascii="Times New Roman" w:hAnsi="Times New Roman" w:eastAsia="仿宋" w:cs="Times New Roman"/>
          <w:b w:val="0"/>
          <w:bCs w:val="0"/>
        </w:rPr>
      </w:pPr>
      <w:bookmarkStart w:id="79" w:name="_Toc16240"/>
      <w:bookmarkStart w:id="80" w:name="_Toc113008497"/>
      <w:r>
        <w:rPr>
          <w:rStyle w:val="25"/>
          <w:rFonts w:ascii="Times New Roman" w:hAnsi="Times New Roman" w:eastAsia="仿宋" w:cs="Times New Roman"/>
          <w:b w:val="0"/>
          <w:bCs w:val="0"/>
        </w:rPr>
        <w:t>五、</w:t>
      </w:r>
      <w:r>
        <w:rPr>
          <w:rFonts w:ascii="Times New Roman" w:hAnsi="Times New Roman" w:eastAsia="仿宋" w:cs="Times New Roman"/>
          <w:b w:val="0"/>
        </w:rPr>
        <w:t>财</w:t>
      </w:r>
      <w:r>
        <w:rPr>
          <w:rStyle w:val="25"/>
          <w:rFonts w:ascii="Times New Roman" w:hAnsi="Times New Roman" w:eastAsia="仿宋" w:cs="Times New Roman"/>
          <w:b w:val="0"/>
          <w:bCs w:val="0"/>
        </w:rPr>
        <w:t>政拨款支出决算明细表</w:t>
      </w:r>
      <w:bookmarkEnd w:id="79"/>
      <w:bookmarkEnd w:id="80"/>
    </w:p>
    <w:p>
      <w:pPr>
        <w:pStyle w:val="4"/>
        <w:spacing w:line="540" w:lineRule="exact"/>
        <w:rPr>
          <w:rFonts w:ascii="Times New Roman" w:hAnsi="Times New Roman" w:eastAsia="仿宋" w:cs="Times New Roman"/>
        </w:rPr>
      </w:pPr>
      <w:bookmarkStart w:id="81" w:name="_Toc14486"/>
      <w:bookmarkStart w:id="82" w:name="_Toc113008498"/>
      <w:r>
        <w:rPr>
          <w:rStyle w:val="25"/>
          <w:rFonts w:ascii="Times New Roman" w:hAnsi="Times New Roman" w:eastAsia="仿宋" w:cs="Times New Roman"/>
          <w:b w:val="0"/>
          <w:bCs w:val="0"/>
        </w:rPr>
        <w:t>六、</w:t>
      </w:r>
      <w:r>
        <w:rPr>
          <w:rFonts w:ascii="Times New Roman" w:hAnsi="Times New Roman" w:eastAsia="仿宋" w:cs="Times New Roman"/>
          <w:b w:val="0"/>
        </w:rPr>
        <w:t>一</w:t>
      </w:r>
      <w:r>
        <w:rPr>
          <w:rStyle w:val="25"/>
          <w:rFonts w:ascii="Times New Roman" w:hAnsi="Times New Roman" w:eastAsia="仿宋" w:cs="Times New Roman"/>
          <w:b w:val="0"/>
          <w:bCs w:val="0"/>
        </w:rPr>
        <w:t>般公共预算财政拨款支出决算表</w:t>
      </w:r>
      <w:bookmarkEnd w:id="81"/>
      <w:bookmarkEnd w:id="82"/>
    </w:p>
    <w:p>
      <w:pPr>
        <w:pStyle w:val="4"/>
        <w:spacing w:line="540" w:lineRule="exact"/>
        <w:rPr>
          <w:rFonts w:ascii="Times New Roman" w:hAnsi="Times New Roman" w:eastAsia="仿宋" w:cs="Times New Roman"/>
        </w:rPr>
      </w:pPr>
      <w:bookmarkStart w:id="83" w:name="_Toc25669"/>
      <w:bookmarkStart w:id="84" w:name="_Toc113008499"/>
      <w:r>
        <w:rPr>
          <w:rStyle w:val="25"/>
          <w:rFonts w:ascii="Times New Roman" w:hAnsi="Times New Roman" w:eastAsia="仿宋" w:cs="Times New Roman"/>
          <w:b w:val="0"/>
          <w:bCs w:val="0"/>
        </w:rPr>
        <w:t>七、</w:t>
      </w:r>
      <w:r>
        <w:rPr>
          <w:rFonts w:ascii="Times New Roman" w:hAnsi="Times New Roman" w:eastAsia="仿宋" w:cs="Times New Roman"/>
          <w:b w:val="0"/>
        </w:rPr>
        <w:t>一</w:t>
      </w:r>
      <w:r>
        <w:rPr>
          <w:rStyle w:val="25"/>
          <w:rFonts w:ascii="Times New Roman" w:hAnsi="Times New Roman" w:eastAsia="仿宋" w:cs="Times New Roman"/>
          <w:b w:val="0"/>
          <w:bCs w:val="0"/>
        </w:rPr>
        <w:t>般公共预算财政拨款支出决算明细表</w:t>
      </w:r>
      <w:bookmarkEnd w:id="83"/>
      <w:bookmarkEnd w:id="84"/>
    </w:p>
    <w:p>
      <w:pPr>
        <w:pStyle w:val="4"/>
        <w:spacing w:line="540" w:lineRule="exact"/>
        <w:rPr>
          <w:rFonts w:ascii="Times New Roman" w:hAnsi="Times New Roman" w:eastAsia="仿宋" w:cs="Times New Roman"/>
        </w:rPr>
      </w:pPr>
      <w:bookmarkStart w:id="85" w:name="_Toc30535"/>
      <w:bookmarkStart w:id="86" w:name="_Toc113008500"/>
      <w:r>
        <w:rPr>
          <w:rStyle w:val="25"/>
          <w:rFonts w:ascii="Times New Roman" w:hAnsi="Times New Roman" w:eastAsia="仿宋" w:cs="Times New Roman"/>
          <w:b w:val="0"/>
          <w:bCs w:val="0"/>
        </w:rPr>
        <w:t>八、</w:t>
      </w:r>
      <w:r>
        <w:rPr>
          <w:rFonts w:ascii="Times New Roman" w:hAnsi="Times New Roman" w:eastAsia="仿宋" w:cs="Times New Roman"/>
          <w:b w:val="0"/>
        </w:rPr>
        <w:t>一</w:t>
      </w:r>
      <w:r>
        <w:rPr>
          <w:rStyle w:val="25"/>
          <w:rFonts w:ascii="Times New Roman" w:hAnsi="Times New Roman" w:eastAsia="仿宋" w:cs="Times New Roman"/>
          <w:b w:val="0"/>
          <w:bCs w:val="0"/>
        </w:rPr>
        <w:t>般公共预算财政拨款基本支出决算表</w:t>
      </w:r>
      <w:bookmarkEnd w:id="85"/>
      <w:bookmarkEnd w:id="86"/>
    </w:p>
    <w:p>
      <w:pPr>
        <w:pStyle w:val="4"/>
        <w:spacing w:line="540" w:lineRule="exact"/>
        <w:rPr>
          <w:rFonts w:ascii="Times New Roman" w:hAnsi="Times New Roman" w:eastAsia="仿宋" w:cs="Times New Roman"/>
        </w:rPr>
      </w:pPr>
      <w:bookmarkStart w:id="87" w:name="_Toc10689"/>
      <w:bookmarkStart w:id="88" w:name="_Toc113008501"/>
      <w:r>
        <w:rPr>
          <w:rStyle w:val="25"/>
          <w:rFonts w:ascii="Times New Roman" w:hAnsi="Times New Roman" w:eastAsia="仿宋" w:cs="Times New Roman"/>
          <w:b w:val="0"/>
          <w:bCs w:val="0"/>
        </w:rPr>
        <w:t>九、</w:t>
      </w:r>
      <w:r>
        <w:rPr>
          <w:rFonts w:ascii="Times New Roman" w:hAnsi="Times New Roman" w:eastAsia="仿宋" w:cs="Times New Roman"/>
          <w:b w:val="0"/>
        </w:rPr>
        <w:t>一</w:t>
      </w:r>
      <w:r>
        <w:rPr>
          <w:rStyle w:val="25"/>
          <w:rFonts w:ascii="Times New Roman" w:hAnsi="Times New Roman" w:eastAsia="仿宋" w:cs="Times New Roman"/>
          <w:b w:val="0"/>
          <w:bCs w:val="0"/>
        </w:rPr>
        <w:t>般公共预算财政拨款项目支出决算表</w:t>
      </w:r>
      <w:bookmarkEnd w:id="87"/>
      <w:bookmarkEnd w:id="88"/>
    </w:p>
    <w:p>
      <w:pPr>
        <w:pStyle w:val="4"/>
        <w:spacing w:line="540" w:lineRule="exact"/>
        <w:rPr>
          <w:rFonts w:ascii="Times New Roman" w:hAnsi="Times New Roman" w:eastAsia="仿宋" w:cs="Times New Roman"/>
        </w:rPr>
      </w:pPr>
      <w:bookmarkStart w:id="89" w:name="_Toc1730"/>
      <w:bookmarkStart w:id="90" w:name="_Toc113008502"/>
      <w:r>
        <w:rPr>
          <w:rStyle w:val="25"/>
          <w:rFonts w:ascii="Times New Roman" w:hAnsi="Times New Roman" w:eastAsia="仿宋" w:cs="Times New Roman"/>
          <w:b w:val="0"/>
          <w:bCs w:val="0"/>
        </w:rPr>
        <w:t>十、</w:t>
      </w:r>
      <w:r>
        <w:rPr>
          <w:rFonts w:ascii="Times New Roman" w:hAnsi="Times New Roman" w:eastAsia="仿宋" w:cs="Times New Roman"/>
          <w:b w:val="0"/>
        </w:rPr>
        <w:t>一</w:t>
      </w:r>
      <w:r>
        <w:rPr>
          <w:rStyle w:val="25"/>
          <w:rFonts w:ascii="Times New Roman" w:hAnsi="Times New Roman" w:eastAsia="仿宋" w:cs="Times New Roman"/>
          <w:b w:val="0"/>
          <w:bCs w:val="0"/>
        </w:rPr>
        <w:t>般公共预算财政拨款“三公”经费支出决算表</w:t>
      </w:r>
      <w:bookmarkEnd w:id="89"/>
      <w:bookmarkEnd w:id="90"/>
    </w:p>
    <w:p>
      <w:pPr>
        <w:pStyle w:val="4"/>
        <w:spacing w:line="540" w:lineRule="exact"/>
        <w:rPr>
          <w:rFonts w:ascii="Times New Roman" w:hAnsi="Times New Roman" w:eastAsia="仿宋" w:cs="Times New Roman"/>
        </w:rPr>
      </w:pPr>
      <w:bookmarkStart w:id="91" w:name="_Toc11687"/>
      <w:bookmarkStart w:id="92" w:name="_Toc113008503"/>
      <w:r>
        <w:rPr>
          <w:rStyle w:val="25"/>
          <w:rFonts w:ascii="Times New Roman" w:hAnsi="Times New Roman" w:eastAsia="仿宋" w:cs="Times New Roman"/>
          <w:b w:val="0"/>
          <w:bCs w:val="0"/>
        </w:rPr>
        <w:t>十一、</w:t>
      </w:r>
      <w:r>
        <w:rPr>
          <w:rFonts w:ascii="Times New Roman" w:hAnsi="Times New Roman" w:eastAsia="仿宋" w:cs="Times New Roman"/>
          <w:b w:val="0"/>
        </w:rPr>
        <w:t>政</w:t>
      </w:r>
      <w:r>
        <w:rPr>
          <w:rStyle w:val="25"/>
          <w:rFonts w:ascii="Times New Roman" w:hAnsi="Times New Roman" w:eastAsia="仿宋" w:cs="Times New Roman"/>
          <w:b w:val="0"/>
          <w:bCs w:val="0"/>
        </w:rPr>
        <w:t>府性基金预算财政拨款收入支出决算表</w:t>
      </w:r>
      <w:bookmarkEnd w:id="91"/>
      <w:r>
        <w:rPr>
          <w:rStyle w:val="25"/>
          <w:rFonts w:hint="eastAsia" w:ascii="Times New Roman" w:hAnsi="Times New Roman" w:eastAsia="仿宋" w:cs="Times New Roman"/>
          <w:b w:val="0"/>
          <w:bCs w:val="0"/>
        </w:rPr>
        <w:t>（此表无数据）</w:t>
      </w:r>
      <w:bookmarkEnd w:id="92"/>
    </w:p>
    <w:p>
      <w:pPr>
        <w:pStyle w:val="4"/>
        <w:spacing w:line="540" w:lineRule="exact"/>
        <w:rPr>
          <w:rFonts w:eastAsia="仿宋"/>
        </w:rPr>
      </w:pPr>
      <w:bookmarkStart w:id="93" w:name="_Toc28077"/>
      <w:bookmarkStart w:id="94" w:name="_Toc113008504"/>
      <w:r>
        <w:rPr>
          <w:rStyle w:val="25"/>
          <w:rFonts w:ascii="Times New Roman" w:hAnsi="Times New Roman" w:eastAsia="仿宋" w:cs="Times New Roman"/>
          <w:b w:val="0"/>
          <w:bCs w:val="0"/>
        </w:rPr>
        <w:t>十二、</w:t>
      </w:r>
      <w:r>
        <w:rPr>
          <w:rFonts w:ascii="Times New Roman" w:hAnsi="Times New Roman" w:eastAsia="仿宋" w:cs="Times New Roman"/>
          <w:b w:val="0"/>
        </w:rPr>
        <w:t>政</w:t>
      </w:r>
      <w:r>
        <w:rPr>
          <w:rStyle w:val="25"/>
          <w:rFonts w:ascii="Times New Roman" w:hAnsi="Times New Roman" w:eastAsia="仿宋" w:cs="Times New Roman"/>
          <w:b w:val="0"/>
          <w:bCs w:val="0"/>
        </w:rPr>
        <w:t>府性基金预算财政拨款“三公”经费支出决算表</w:t>
      </w:r>
      <w:r>
        <w:rPr>
          <w:rStyle w:val="25"/>
          <w:rFonts w:hint="eastAsia" w:eastAsia="仿宋" w:cs="Times New Roman"/>
          <w:b w:val="0"/>
          <w:bCs w:val="0"/>
        </w:rPr>
        <w:t>（此表无数据）</w:t>
      </w:r>
      <w:bookmarkEnd w:id="93"/>
      <w:bookmarkEnd w:id="94"/>
    </w:p>
    <w:p>
      <w:pPr>
        <w:pStyle w:val="4"/>
        <w:spacing w:line="540" w:lineRule="exact"/>
        <w:rPr>
          <w:rStyle w:val="25"/>
          <w:rFonts w:eastAsia="仿宋" w:cs="Times New Roman"/>
          <w:b w:val="0"/>
          <w:bCs w:val="0"/>
        </w:rPr>
      </w:pPr>
      <w:bookmarkStart w:id="95" w:name="_Toc113008505"/>
      <w:bookmarkStart w:id="96" w:name="_Toc1066"/>
      <w:r>
        <w:rPr>
          <w:rStyle w:val="25"/>
          <w:rFonts w:ascii="Times New Roman" w:hAnsi="Times New Roman" w:eastAsia="仿宋" w:cs="Times New Roman"/>
          <w:b w:val="0"/>
          <w:bCs w:val="0"/>
        </w:rPr>
        <w:t>十三、</w:t>
      </w:r>
      <w:r>
        <w:rPr>
          <w:rFonts w:ascii="Times New Roman" w:hAnsi="Times New Roman" w:eastAsia="仿宋" w:cs="Times New Roman"/>
          <w:b w:val="0"/>
        </w:rPr>
        <w:t>国</w:t>
      </w:r>
      <w:r>
        <w:rPr>
          <w:rStyle w:val="25"/>
          <w:rFonts w:ascii="Times New Roman" w:hAnsi="Times New Roman" w:eastAsia="仿宋" w:cs="Times New Roman"/>
          <w:b w:val="0"/>
          <w:bCs w:val="0"/>
        </w:rPr>
        <w:t>有资本经营预算财政拨款收入支出决算表</w:t>
      </w:r>
      <w:r>
        <w:rPr>
          <w:rStyle w:val="25"/>
          <w:rFonts w:hint="eastAsia" w:eastAsia="仿宋" w:cs="Times New Roman"/>
          <w:b w:val="0"/>
          <w:bCs w:val="0"/>
        </w:rPr>
        <w:t>（此表无数据）</w:t>
      </w:r>
      <w:bookmarkEnd w:id="95"/>
      <w:bookmarkEnd w:id="96"/>
      <w:bookmarkStart w:id="97" w:name="_Toc7926"/>
    </w:p>
    <w:p>
      <w:pPr>
        <w:pStyle w:val="4"/>
        <w:spacing w:line="540" w:lineRule="exact"/>
        <w:rPr>
          <w:rFonts w:eastAsia="仿宋"/>
        </w:rPr>
      </w:pPr>
      <w:bookmarkStart w:id="98" w:name="_Toc113008506"/>
      <w:r>
        <w:rPr>
          <w:rStyle w:val="25"/>
          <w:rFonts w:ascii="Times New Roman" w:hAnsi="Times New Roman" w:eastAsia="仿宋" w:cs="Times New Roman"/>
          <w:b w:val="0"/>
          <w:bCs w:val="0"/>
        </w:rPr>
        <w:t>十四、国有资本经营预算财政拨款支出决算表</w:t>
      </w:r>
      <w:r>
        <w:rPr>
          <w:rStyle w:val="25"/>
          <w:rFonts w:hint="eastAsia" w:eastAsia="仿宋" w:cs="Times New Roman"/>
          <w:b w:val="0"/>
          <w:bCs w:val="0"/>
        </w:rPr>
        <w:t>（此表无数据）</w:t>
      </w:r>
      <w:bookmarkEnd w:id="97"/>
      <w:bookmarkEnd w:id="98"/>
    </w:p>
    <w:bookmarkEnd w:id="70"/>
    <w:p>
      <w:pPr>
        <w:outlineLvl w:val="1"/>
        <w:rPr>
          <w:rFonts w:eastAsia="仿宋"/>
        </w:rPr>
      </w:pPr>
    </w:p>
    <w:sectPr>
      <w:footerReference r:id="rId6" w:type="first"/>
      <w:footerReference r:id="rId5"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仿宋简体">
    <w:panose1 w:val="02000000000000000000"/>
    <w:charset w:val="86"/>
    <w:family w:val="auto"/>
    <w:pitch w:val="default"/>
    <w:sig w:usb0="A00002BF" w:usb1="184F6CFA" w:usb2="00000012" w:usb3="00000000" w:csb0="00040001" w:csb1="00000000"/>
  </w:font>
  <w:font w:name="幼圆">
    <w:panose1 w:val="0201050906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w:t>
        </w:r>
        <w:r>
          <w:fldChar w:fldCharType="end"/>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pict>
        <v:shape id="_x0000_s1027" o:spid="_x0000_s102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path/>
          <v:fill on="f" focussize="0,0"/>
          <v:stroke on="f" weight="0.5pt" joinstyle="miter"/>
          <v:imagedata o:title=""/>
          <o:lock v:ext="edit"/>
          <v:textbox inset="0mm,0mm,0mm,0mm" style="mso-fit-shape-to-text:t;">
            <w:txbxContent>
              <w:sdt>
                <w:sdtPr>
                  <w:id w:val="1087273782"/>
                </w:sdtPr>
                <w:sdtContent>
                  <w:p>
                    <w:pPr>
                      <w:pStyle w:val="8"/>
                      <w:jc w:val="center"/>
                    </w:pPr>
                    <w:r>
                      <w:fldChar w:fldCharType="begin"/>
                    </w:r>
                    <w:r>
                      <w:instrText xml:space="preserve">PAGE   \* MERGEFORMAT</w:instrText>
                    </w:r>
                    <w:r>
                      <w:fldChar w:fldCharType="separate"/>
                    </w:r>
                    <w:r>
                      <w:rPr>
                        <w:lang w:val="zh-CN"/>
                      </w:rPr>
                      <w:t>2</w:t>
                    </w:r>
                    <w:r>
                      <w:fldChar w:fldCharType="end"/>
                    </w:r>
                  </w:p>
                </w:sdtContent>
              </w:sdt>
              <w:p>
                <w:pPr>
                  <w:pStyle w:val="2"/>
                  <w:spacing w:before="72"/>
                </w:pPr>
              </w:p>
            </w:txbxContent>
          </v:textbox>
        </v:shape>
      </w:pict>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path/>
          <v:fill on="f" focussize="0,0"/>
          <v:stroke on="f" weight="0.5pt" joinstyle="miter"/>
          <v:imagedata o:title=""/>
          <o:lock v:ext="edit"/>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1">
    <w:nsid w:val="78589AFC"/>
    <w:multiLevelType w:val="singleLevel"/>
    <w:tmpl w:val="78589AFC"/>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VmOTI3YTc4NDYwNTNlOTE3YjdkYWU4ZDk5YTU5NjEifQ=="/>
  </w:docVars>
  <w:rsids>
    <w:rsidRoot w:val="00F1361C"/>
    <w:rsid w:val="000222C6"/>
    <w:rsid w:val="0002549F"/>
    <w:rsid w:val="00031EAD"/>
    <w:rsid w:val="000350BC"/>
    <w:rsid w:val="000468DB"/>
    <w:rsid w:val="00057213"/>
    <w:rsid w:val="000622DD"/>
    <w:rsid w:val="0006487A"/>
    <w:rsid w:val="00065F8F"/>
    <w:rsid w:val="00070A43"/>
    <w:rsid w:val="000768F2"/>
    <w:rsid w:val="00086BCF"/>
    <w:rsid w:val="0009184B"/>
    <w:rsid w:val="00094236"/>
    <w:rsid w:val="0009593C"/>
    <w:rsid w:val="00097322"/>
    <w:rsid w:val="000A6A92"/>
    <w:rsid w:val="000B047F"/>
    <w:rsid w:val="000B5923"/>
    <w:rsid w:val="000B5A48"/>
    <w:rsid w:val="000B6FF3"/>
    <w:rsid w:val="000C3467"/>
    <w:rsid w:val="000C3CA6"/>
    <w:rsid w:val="000C631D"/>
    <w:rsid w:val="000D1267"/>
    <w:rsid w:val="000D1D50"/>
    <w:rsid w:val="000D201A"/>
    <w:rsid w:val="000D38B5"/>
    <w:rsid w:val="000D5782"/>
    <w:rsid w:val="000D6199"/>
    <w:rsid w:val="000E5E42"/>
    <w:rsid w:val="000E6613"/>
    <w:rsid w:val="000E6F90"/>
    <w:rsid w:val="000E7119"/>
    <w:rsid w:val="00110E04"/>
    <w:rsid w:val="00110EDA"/>
    <w:rsid w:val="00114E9B"/>
    <w:rsid w:val="0013228F"/>
    <w:rsid w:val="00142216"/>
    <w:rsid w:val="00144D6A"/>
    <w:rsid w:val="0014729F"/>
    <w:rsid w:val="00157BAB"/>
    <w:rsid w:val="001654D1"/>
    <w:rsid w:val="00174518"/>
    <w:rsid w:val="0018106D"/>
    <w:rsid w:val="0018338C"/>
    <w:rsid w:val="001877A7"/>
    <w:rsid w:val="00191536"/>
    <w:rsid w:val="00196687"/>
    <w:rsid w:val="001C0962"/>
    <w:rsid w:val="001D67EC"/>
    <w:rsid w:val="001D7531"/>
    <w:rsid w:val="001E737D"/>
    <w:rsid w:val="001E7D13"/>
    <w:rsid w:val="001F0592"/>
    <w:rsid w:val="001F1D38"/>
    <w:rsid w:val="001F7506"/>
    <w:rsid w:val="002006CD"/>
    <w:rsid w:val="00202B36"/>
    <w:rsid w:val="00204B7A"/>
    <w:rsid w:val="00204CDE"/>
    <w:rsid w:val="0021101A"/>
    <w:rsid w:val="00220536"/>
    <w:rsid w:val="00220BD6"/>
    <w:rsid w:val="00223419"/>
    <w:rsid w:val="0023560E"/>
    <w:rsid w:val="00235629"/>
    <w:rsid w:val="00257410"/>
    <w:rsid w:val="00260C38"/>
    <w:rsid w:val="002616C0"/>
    <w:rsid w:val="00265372"/>
    <w:rsid w:val="002662AA"/>
    <w:rsid w:val="00280496"/>
    <w:rsid w:val="0028136D"/>
    <w:rsid w:val="00285B62"/>
    <w:rsid w:val="00294DC9"/>
    <w:rsid w:val="00295495"/>
    <w:rsid w:val="002A31DE"/>
    <w:rsid w:val="002B2613"/>
    <w:rsid w:val="002B44FB"/>
    <w:rsid w:val="002B49BB"/>
    <w:rsid w:val="002D6D05"/>
    <w:rsid w:val="002F1818"/>
    <w:rsid w:val="002F29C2"/>
    <w:rsid w:val="002F567B"/>
    <w:rsid w:val="003216A9"/>
    <w:rsid w:val="003326C3"/>
    <w:rsid w:val="00335A74"/>
    <w:rsid w:val="00340534"/>
    <w:rsid w:val="0036561B"/>
    <w:rsid w:val="0037013F"/>
    <w:rsid w:val="00380C92"/>
    <w:rsid w:val="003A484F"/>
    <w:rsid w:val="003A4883"/>
    <w:rsid w:val="003A7B14"/>
    <w:rsid w:val="003A7C4D"/>
    <w:rsid w:val="003B0BE0"/>
    <w:rsid w:val="003B0C1B"/>
    <w:rsid w:val="003B688C"/>
    <w:rsid w:val="003C0291"/>
    <w:rsid w:val="003C39AE"/>
    <w:rsid w:val="003C7B60"/>
    <w:rsid w:val="003D0C0F"/>
    <w:rsid w:val="003D1035"/>
    <w:rsid w:val="003D1FB2"/>
    <w:rsid w:val="003D2905"/>
    <w:rsid w:val="003D66DA"/>
    <w:rsid w:val="003E1310"/>
    <w:rsid w:val="003E6F55"/>
    <w:rsid w:val="00406254"/>
    <w:rsid w:val="00414DA2"/>
    <w:rsid w:val="004223DE"/>
    <w:rsid w:val="00434489"/>
    <w:rsid w:val="00437085"/>
    <w:rsid w:val="0044167E"/>
    <w:rsid w:val="00443880"/>
    <w:rsid w:val="004464F4"/>
    <w:rsid w:val="00471401"/>
    <w:rsid w:val="00473F31"/>
    <w:rsid w:val="0048263A"/>
    <w:rsid w:val="00487E5D"/>
    <w:rsid w:val="00490FCD"/>
    <w:rsid w:val="004A5891"/>
    <w:rsid w:val="004A711F"/>
    <w:rsid w:val="004B199D"/>
    <w:rsid w:val="004B4690"/>
    <w:rsid w:val="004C0D34"/>
    <w:rsid w:val="004E0A2D"/>
    <w:rsid w:val="004E206B"/>
    <w:rsid w:val="004E42C3"/>
    <w:rsid w:val="004E6DF7"/>
    <w:rsid w:val="004F0FBD"/>
    <w:rsid w:val="00505A47"/>
    <w:rsid w:val="00512FDA"/>
    <w:rsid w:val="00520DA0"/>
    <w:rsid w:val="00526FC1"/>
    <w:rsid w:val="005664BB"/>
    <w:rsid w:val="00566FFA"/>
    <w:rsid w:val="0057215A"/>
    <w:rsid w:val="0057481D"/>
    <w:rsid w:val="0058486E"/>
    <w:rsid w:val="00585B33"/>
    <w:rsid w:val="0059014D"/>
    <w:rsid w:val="005B4BF1"/>
    <w:rsid w:val="005B5C64"/>
    <w:rsid w:val="005C5337"/>
    <w:rsid w:val="005C6BD0"/>
    <w:rsid w:val="005C7488"/>
    <w:rsid w:val="005D1C8B"/>
    <w:rsid w:val="005D468D"/>
    <w:rsid w:val="005D5CED"/>
    <w:rsid w:val="005F004E"/>
    <w:rsid w:val="005F1A4C"/>
    <w:rsid w:val="00605688"/>
    <w:rsid w:val="00605DD5"/>
    <w:rsid w:val="006070AF"/>
    <w:rsid w:val="00607E6C"/>
    <w:rsid w:val="006101B1"/>
    <w:rsid w:val="00614E44"/>
    <w:rsid w:val="0062270A"/>
    <w:rsid w:val="00622830"/>
    <w:rsid w:val="00623DA0"/>
    <w:rsid w:val="00630AEF"/>
    <w:rsid w:val="00631E78"/>
    <w:rsid w:val="006325F8"/>
    <w:rsid w:val="00633463"/>
    <w:rsid w:val="00634C9A"/>
    <w:rsid w:val="006362F9"/>
    <w:rsid w:val="006440E4"/>
    <w:rsid w:val="0066343B"/>
    <w:rsid w:val="00664777"/>
    <w:rsid w:val="006748A4"/>
    <w:rsid w:val="00676806"/>
    <w:rsid w:val="00681A31"/>
    <w:rsid w:val="00683E73"/>
    <w:rsid w:val="006A3141"/>
    <w:rsid w:val="006A5E34"/>
    <w:rsid w:val="006B2422"/>
    <w:rsid w:val="006B2B9A"/>
    <w:rsid w:val="006C1937"/>
    <w:rsid w:val="006F020C"/>
    <w:rsid w:val="007127B7"/>
    <w:rsid w:val="00715897"/>
    <w:rsid w:val="0071798E"/>
    <w:rsid w:val="007416B6"/>
    <w:rsid w:val="007429E7"/>
    <w:rsid w:val="00746F48"/>
    <w:rsid w:val="0075404D"/>
    <w:rsid w:val="0076182A"/>
    <w:rsid w:val="00767B7E"/>
    <w:rsid w:val="00774145"/>
    <w:rsid w:val="007770C3"/>
    <w:rsid w:val="00784D24"/>
    <w:rsid w:val="00785FBA"/>
    <w:rsid w:val="00786E4A"/>
    <w:rsid w:val="007875EB"/>
    <w:rsid w:val="007923D9"/>
    <w:rsid w:val="0079426B"/>
    <w:rsid w:val="007A58F8"/>
    <w:rsid w:val="007C34C5"/>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400A"/>
    <w:rsid w:val="00855221"/>
    <w:rsid w:val="00855CAE"/>
    <w:rsid w:val="00860645"/>
    <w:rsid w:val="00871F71"/>
    <w:rsid w:val="00872FD8"/>
    <w:rsid w:val="00885AF4"/>
    <w:rsid w:val="008939CD"/>
    <w:rsid w:val="008A2AD7"/>
    <w:rsid w:val="008B4439"/>
    <w:rsid w:val="008B768C"/>
    <w:rsid w:val="008C4DB1"/>
    <w:rsid w:val="008C4EAF"/>
    <w:rsid w:val="008C5176"/>
    <w:rsid w:val="008C7FD0"/>
    <w:rsid w:val="008E1DE7"/>
    <w:rsid w:val="008E5920"/>
    <w:rsid w:val="008E6F2B"/>
    <w:rsid w:val="008E707C"/>
    <w:rsid w:val="008F0B84"/>
    <w:rsid w:val="00900B08"/>
    <w:rsid w:val="00902155"/>
    <w:rsid w:val="00902FA3"/>
    <w:rsid w:val="00923564"/>
    <w:rsid w:val="0092392E"/>
    <w:rsid w:val="009315F9"/>
    <w:rsid w:val="00933499"/>
    <w:rsid w:val="00935C98"/>
    <w:rsid w:val="009367ED"/>
    <w:rsid w:val="00946945"/>
    <w:rsid w:val="00951248"/>
    <w:rsid w:val="0095152F"/>
    <w:rsid w:val="00952D4C"/>
    <w:rsid w:val="00953825"/>
    <w:rsid w:val="00954C49"/>
    <w:rsid w:val="00955E37"/>
    <w:rsid w:val="0097099F"/>
    <w:rsid w:val="00971997"/>
    <w:rsid w:val="00971FFC"/>
    <w:rsid w:val="0098660A"/>
    <w:rsid w:val="009931C3"/>
    <w:rsid w:val="009A3EF5"/>
    <w:rsid w:val="009B2C43"/>
    <w:rsid w:val="009B4EAE"/>
    <w:rsid w:val="009B7573"/>
    <w:rsid w:val="009C22F4"/>
    <w:rsid w:val="009C2A4B"/>
    <w:rsid w:val="009C2E98"/>
    <w:rsid w:val="009D10AB"/>
    <w:rsid w:val="009D3447"/>
    <w:rsid w:val="009D4711"/>
    <w:rsid w:val="009F1185"/>
    <w:rsid w:val="009F18CD"/>
    <w:rsid w:val="009F2A13"/>
    <w:rsid w:val="009F7527"/>
    <w:rsid w:val="00A04EB0"/>
    <w:rsid w:val="00A13CC1"/>
    <w:rsid w:val="00A16847"/>
    <w:rsid w:val="00A16CFB"/>
    <w:rsid w:val="00A20788"/>
    <w:rsid w:val="00A237D8"/>
    <w:rsid w:val="00A25500"/>
    <w:rsid w:val="00A268C4"/>
    <w:rsid w:val="00A307CD"/>
    <w:rsid w:val="00A331C8"/>
    <w:rsid w:val="00A351F6"/>
    <w:rsid w:val="00A40A00"/>
    <w:rsid w:val="00A4142F"/>
    <w:rsid w:val="00A422EB"/>
    <w:rsid w:val="00A45BB7"/>
    <w:rsid w:val="00A52B5A"/>
    <w:rsid w:val="00A56DF2"/>
    <w:rsid w:val="00A56E6E"/>
    <w:rsid w:val="00A63051"/>
    <w:rsid w:val="00A67AB5"/>
    <w:rsid w:val="00A733B2"/>
    <w:rsid w:val="00A741C2"/>
    <w:rsid w:val="00A751AC"/>
    <w:rsid w:val="00A91760"/>
    <w:rsid w:val="00A93B00"/>
    <w:rsid w:val="00A93C21"/>
    <w:rsid w:val="00AA64C7"/>
    <w:rsid w:val="00AB0C0F"/>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6DE9"/>
    <w:rsid w:val="00B57DAF"/>
    <w:rsid w:val="00B7551C"/>
    <w:rsid w:val="00B75FE3"/>
    <w:rsid w:val="00B77EA6"/>
    <w:rsid w:val="00B81598"/>
    <w:rsid w:val="00B841F1"/>
    <w:rsid w:val="00B944D6"/>
    <w:rsid w:val="00BA26FE"/>
    <w:rsid w:val="00BA4AA5"/>
    <w:rsid w:val="00BB4DF0"/>
    <w:rsid w:val="00BC289F"/>
    <w:rsid w:val="00BC2D50"/>
    <w:rsid w:val="00BC5361"/>
    <w:rsid w:val="00BC5460"/>
    <w:rsid w:val="00BC6B50"/>
    <w:rsid w:val="00BD0E25"/>
    <w:rsid w:val="00BF5BD6"/>
    <w:rsid w:val="00C03E31"/>
    <w:rsid w:val="00C168EE"/>
    <w:rsid w:val="00C20201"/>
    <w:rsid w:val="00C241BE"/>
    <w:rsid w:val="00C33E72"/>
    <w:rsid w:val="00C354B2"/>
    <w:rsid w:val="00C35554"/>
    <w:rsid w:val="00C41A5A"/>
    <w:rsid w:val="00C42709"/>
    <w:rsid w:val="00C52926"/>
    <w:rsid w:val="00C533CC"/>
    <w:rsid w:val="00C5751C"/>
    <w:rsid w:val="00C61BFC"/>
    <w:rsid w:val="00C62B85"/>
    <w:rsid w:val="00C65438"/>
    <w:rsid w:val="00C84337"/>
    <w:rsid w:val="00C87FD8"/>
    <w:rsid w:val="00C91381"/>
    <w:rsid w:val="00C91CBB"/>
    <w:rsid w:val="00CB4E70"/>
    <w:rsid w:val="00CC09B6"/>
    <w:rsid w:val="00CC200A"/>
    <w:rsid w:val="00CC49AE"/>
    <w:rsid w:val="00CC666F"/>
    <w:rsid w:val="00CD1E3F"/>
    <w:rsid w:val="00CE16D3"/>
    <w:rsid w:val="00CE44F6"/>
    <w:rsid w:val="00CE49DA"/>
    <w:rsid w:val="00CE7B61"/>
    <w:rsid w:val="00D00095"/>
    <w:rsid w:val="00D114F0"/>
    <w:rsid w:val="00D15800"/>
    <w:rsid w:val="00D20620"/>
    <w:rsid w:val="00D254F7"/>
    <w:rsid w:val="00D26091"/>
    <w:rsid w:val="00D2685C"/>
    <w:rsid w:val="00D272C9"/>
    <w:rsid w:val="00D34E7C"/>
    <w:rsid w:val="00D35489"/>
    <w:rsid w:val="00D36AFE"/>
    <w:rsid w:val="00D51276"/>
    <w:rsid w:val="00D7035F"/>
    <w:rsid w:val="00D91112"/>
    <w:rsid w:val="00D94BEF"/>
    <w:rsid w:val="00DA634F"/>
    <w:rsid w:val="00DA65AC"/>
    <w:rsid w:val="00DB1913"/>
    <w:rsid w:val="00DC410D"/>
    <w:rsid w:val="00DC5A81"/>
    <w:rsid w:val="00DC68CA"/>
    <w:rsid w:val="00DC7CBA"/>
    <w:rsid w:val="00DD5F63"/>
    <w:rsid w:val="00DD73B7"/>
    <w:rsid w:val="00DE3CD3"/>
    <w:rsid w:val="00DF28BC"/>
    <w:rsid w:val="00DF34B9"/>
    <w:rsid w:val="00E00B04"/>
    <w:rsid w:val="00E01053"/>
    <w:rsid w:val="00E07ACF"/>
    <w:rsid w:val="00E331A1"/>
    <w:rsid w:val="00E33202"/>
    <w:rsid w:val="00E336A9"/>
    <w:rsid w:val="00E441F2"/>
    <w:rsid w:val="00E472B1"/>
    <w:rsid w:val="00E50624"/>
    <w:rsid w:val="00E568DF"/>
    <w:rsid w:val="00E64269"/>
    <w:rsid w:val="00E702E4"/>
    <w:rsid w:val="00E71D0F"/>
    <w:rsid w:val="00E82267"/>
    <w:rsid w:val="00E853CE"/>
    <w:rsid w:val="00E867B6"/>
    <w:rsid w:val="00E877C6"/>
    <w:rsid w:val="00EA010F"/>
    <w:rsid w:val="00EC3CFF"/>
    <w:rsid w:val="00ED1B63"/>
    <w:rsid w:val="00ED3C1F"/>
    <w:rsid w:val="00ED4085"/>
    <w:rsid w:val="00ED420E"/>
    <w:rsid w:val="00ED6FBE"/>
    <w:rsid w:val="00EE2882"/>
    <w:rsid w:val="00EE2F57"/>
    <w:rsid w:val="00EF4C34"/>
    <w:rsid w:val="00EF77C6"/>
    <w:rsid w:val="00F02A6A"/>
    <w:rsid w:val="00F05438"/>
    <w:rsid w:val="00F06056"/>
    <w:rsid w:val="00F1361C"/>
    <w:rsid w:val="00F156F0"/>
    <w:rsid w:val="00F160C7"/>
    <w:rsid w:val="00F2408F"/>
    <w:rsid w:val="00F240E9"/>
    <w:rsid w:val="00F36D8F"/>
    <w:rsid w:val="00F417B1"/>
    <w:rsid w:val="00F45853"/>
    <w:rsid w:val="00F602DF"/>
    <w:rsid w:val="00F60604"/>
    <w:rsid w:val="00F754A1"/>
    <w:rsid w:val="00F81FD9"/>
    <w:rsid w:val="00F841AA"/>
    <w:rsid w:val="00F84A94"/>
    <w:rsid w:val="00F87E96"/>
    <w:rsid w:val="00FA23E8"/>
    <w:rsid w:val="00FB524F"/>
    <w:rsid w:val="00FB5449"/>
    <w:rsid w:val="00FD3CC1"/>
    <w:rsid w:val="00FE5F23"/>
    <w:rsid w:val="00FF1E02"/>
    <w:rsid w:val="00FF30B4"/>
    <w:rsid w:val="022B1FDA"/>
    <w:rsid w:val="03101F14"/>
    <w:rsid w:val="077B69C2"/>
    <w:rsid w:val="08422C83"/>
    <w:rsid w:val="0A2032A3"/>
    <w:rsid w:val="0B8A37D8"/>
    <w:rsid w:val="0D524F98"/>
    <w:rsid w:val="0E4D4F16"/>
    <w:rsid w:val="10C055FF"/>
    <w:rsid w:val="118107EC"/>
    <w:rsid w:val="11DD6519"/>
    <w:rsid w:val="12D24254"/>
    <w:rsid w:val="134C0118"/>
    <w:rsid w:val="157415CD"/>
    <w:rsid w:val="168021CB"/>
    <w:rsid w:val="16BB723D"/>
    <w:rsid w:val="16E178E4"/>
    <w:rsid w:val="175C045F"/>
    <w:rsid w:val="176F25AD"/>
    <w:rsid w:val="18015F3F"/>
    <w:rsid w:val="1A2B321D"/>
    <w:rsid w:val="1BE8440E"/>
    <w:rsid w:val="1C320DDA"/>
    <w:rsid w:val="1D0E5DB7"/>
    <w:rsid w:val="1D155CEE"/>
    <w:rsid w:val="20F57F95"/>
    <w:rsid w:val="211B76E4"/>
    <w:rsid w:val="240371BF"/>
    <w:rsid w:val="252B6033"/>
    <w:rsid w:val="25C741E6"/>
    <w:rsid w:val="27842671"/>
    <w:rsid w:val="28256665"/>
    <w:rsid w:val="29FD04D3"/>
    <w:rsid w:val="2A825BD2"/>
    <w:rsid w:val="2ABE7A3E"/>
    <w:rsid w:val="2AFB1285"/>
    <w:rsid w:val="2D65680F"/>
    <w:rsid w:val="2EFA178C"/>
    <w:rsid w:val="30B46D73"/>
    <w:rsid w:val="31162F73"/>
    <w:rsid w:val="319F7F4E"/>
    <w:rsid w:val="33DB063A"/>
    <w:rsid w:val="39AE70AB"/>
    <w:rsid w:val="3C0C0783"/>
    <w:rsid w:val="3F9F3A96"/>
    <w:rsid w:val="40844850"/>
    <w:rsid w:val="44777DA0"/>
    <w:rsid w:val="493C27E9"/>
    <w:rsid w:val="496F39ED"/>
    <w:rsid w:val="49FF41D3"/>
    <w:rsid w:val="4BE068DB"/>
    <w:rsid w:val="4BF6002B"/>
    <w:rsid w:val="4C440CF1"/>
    <w:rsid w:val="4D5C182F"/>
    <w:rsid w:val="4E4C1D55"/>
    <w:rsid w:val="4ECE2238"/>
    <w:rsid w:val="501355E8"/>
    <w:rsid w:val="51DB4B86"/>
    <w:rsid w:val="55333C3E"/>
    <w:rsid w:val="57687274"/>
    <w:rsid w:val="5840635E"/>
    <w:rsid w:val="5A857D0E"/>
    <w:rsid w:val="61FC486A"/>
    <w:rsid w:val="64CA39A1"/>
    <w:rsid w:val="65AD4E15"/>
    <w:rsid w:val="6A5250AE"/>
    <w:rsid w:val="6B2F4F58"/>
    <w:rsid w:val="6C4A05C8"/>
    <w:rsid w:val="72734D90"/>
    <w:rsid w:val="75A302E3"/>
    <w:rsid w:val="76477DD3"/>
    <w:rsid w:val="767F1F7B"/>
    <w:rsid w:val="78BB7648"/>
    <w:rsid w:val="79E7B28D"/>
    <w:rsid w:val="7AC90D18"/>
    <w:rsid w:val="7E345812"/>
    <w:rsid w:val="7F9F20EE"/>
    <w:rsid w:val="9E3A10E2"/>
    <w:rsid w:val="F2E1F9D4"/>
    <w:rsid w:val="F788081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22"/>
    <w:rPr>
      <w:b/>
    </w:rPr>
  </w:style>
  <w:style w:type="character" w:styleId="15">
    <w:name w:val="Hyperlink"/>
    <w:basedOn w:val="13"/>
    <w:unhideWhenUsed/>
    <w:qFormat/>
    <w:uiPriority w:val="99"/>
    <w:rPr>
      <w:color w:val="0000FF" w:themeColor="hyperlink"/>
      <w:u w:val="single"/>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3"/>
    <w:qFormat/>
    <w:uiPriority w:val="9"/>
    <w:rPr>
      <w:rFonts w:ascii="Times New Roman" w:hAnsi="Times New Roman"/>
      <w:b/>
      <w:bCs/>
      <w:kern w:val="44"/>
      <w:sz w:val="44"/>
      <w:szCs w:val="44"/>
    </w:rPr>
  </w:style>
  <w:style w:type="character" w:customStyle="1" w:styleId="25">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5"/>
    <w:qFormat/>
    <w:uiPriority w:val="9"/>
    <w:rPr>
      <w:rFonts w:ascii="Times New Roman" w:hAnsi="Times New Roman"/>
      <w:b/>
      <w:bCs/>
      <w:kern w:val="2"/>
      <w:sz w:val="32"/>
      <w:szCs w:val="32"/>
    </w:rPr>
  </w:style>
  <w:style w:type="paragraph" w:customStyle="1" w:styleId="29">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0">
    <w:name w:val="WPSOffice手动目录 1"/>
    <w:qFormat/>
    <w:uiPriority w:val="0"/>
    <w:rPr>
      <w:rFonts w:asciiTheme="minorHAnsi" w:hAnsiTheme="minorHAnsi" w:eastAsiaTheme="minorEastAsia" w:cstheme="minorBidi"/>
      <w:lang w:val="en-US" w:eastAsia="zh-CN" w:bidi="ar-SA"/>
    </w:rPr>
  </w:style>
  <w:style w:type="paragraph" w:customStyle="1" w:styleId="31">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32">
    <w:name w:val="无间隔1"/>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chart" Target="charts/chart7.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021&#24180;&#20915;&#31639;&#22270;&#34920;-&#26412;&#32423;.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Administrator\Desktop\2021&#24180;&#20915;&#31639;&#22270;&#34920;-&#26412;&#32423;.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Administrator\Desktop\2021&#24180;&#20915;&#31639;&#22270;&#34920;-&#26412;&#32423;.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Desktop\2021&#24180;&#20915;&#31639;&#22270;&#34920;-&#26412;&#32423;.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istrator\Desktop\2021&#24180;&#20915;&#31639;&#22270;&#34920;-&#26412;&#32423;.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istrator\Desktop\2021&#24180;&#20915;&#31639;&#22270;&#34920;-&#26412;&#32423;.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inistrator\Desktop\2021&#24180;&#20915;&#31639;&#22270;&#34920;-&#26412;&#3242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800"/>
              <a:t>收、支决算总计变动情况图</a:t>
            </a:r>
            <a:endParaRPr lang="zh-CN" altLang="en-US" sz="1800"/>
          </a:p>
        </c:rich>
      </c:tx>
      <c:layout/>
      <c:overlay val="0"/>
    </c:title>
    <c:autoTitleDeleted val="0"/>
    <c:plotArea>
      <c:layout/>
      <c:barChart>
        <c:barDir val="col"/>
        <c:grouping val="clustered"/>
        <c:varyColors val="0"/>
        <c:ser>
          <c:idx val="0"/>
          <c:order val="0"/>
          <c:tx>
            <c:strRef>
              <c:f>收支决算总计!$A$2</c:f>
              <c:strCache>
                <c:ptCount val="1"/>
                <c:pt idx="0">
                  <c:v>全年收入总计</c:v>
                </c:pt>
              </c:strCache>
            </c:strRef>
          </c:tx>
          <c:invertIfNegative val="0"/>
          <c:dLbls>
            <c:delete val="1"/>
          </c:dLbls>
          <c:cat>
            <c:strRef>
              <c:f>收支决算总计!$B$1:$E$1</c:f>
              <c:strCache>
                <c:ptCount val="4"/>
                <c:pt idx="0">
                  <c:v>2020年</c:v>
                </c:pt>
                <c:pt idx="1">
                  <c:v>2021年</c:v>
                </c:pt>
                <c:pt idx="2">
                  <c:v>同比增减额</c:v>
                </c:pt>
                <c:pt idx="3">
                  <c:v>同比增减率</c:v>
                </c:pt>
              </c:strCache>
            </c:strRef>
          </c:cat>
          <c:val>
            <c:numRef>
              <c:f>收支决算总计!$B$2:$E$2</c:f>
              <c:numCache>
                <c:formatCode>#,##0.00</c:formatCode>
                <c:ptCount val="4"/>
                <c:pt idx="0">
                  <c:v>1742.73</c:v>
                </c:pt>
                <c:pt idx="1">
                  <c:v>1029.62</c:v>
                </c:pt>
                <c:pt idx="2" c:formatCode="0.00_ ">
                  <c:v>-713.11</c:v>
                </c:pt>
                <c:pt idx="3" c:formatCode="0.00%">
                  <c:v>-0.409191326252489</c:v>
                </c:pt>
              </c:numCache>
            </c:numRef>
          </c:val>
        </c:ser>
        <c:ser>
          <c:idx val="1"/>
          <c:order val="1"/>
          <c:tx>
            <c:strRef>
              <c:f>收支决算总计!$A$3</c:f>
              <c:strCache>
                <c:ptCount val="1"/>
                <c:pt idx="0">
                  <c:v>全年支出总计</c:v>
                </c:pt>
              </c:strCache>
            </c:strRef>
          </c:tx>
          <c:invertIfNegative val="0"/>
          <c:dLbls>
            <c:delete val="1"/>
          </c:dLbls>
          <c:cat>
            <c:strRef>
              <c:f>收支决算总计!$B$1:$E$1</c:f>
              <c:strCache>
                <c:ptCount val="4"/>
                <c:pt idx="0">
                  <c:v>2020年</c:v>
                </c:pt>
                <c:pt idx="1">
                  <c:v>2021年</c:v>
                </c:pt>
                <c:pt idx="2">
                  <c:v>同比增减额</c:v>
                </c:pt>
                <c:pt idx="3">
                  <c:v>同比增减率</c:v>
                </c:pt>
              </c:strCache>
            </c:strRef>
          </c:cat>
          <c:val>
            <c:numRef>
              <c:f>收支决算总计!$B$3:$E$3</c:f>
              <c:numCache>
                <c:formatCode>#,##0.00</c:formatCode>
                <c:ptCount val="4"/>
                <c:pt idx="0">
                  <c:v>1742.73</c:v>
                </c:pt>
                <c:pt idx="1">
                  <c:v>1029.62</c:v>
                </c:pt>
                <c:pt idx="2" c:formatCode="0.00_ ">
                  <c:v>-713.11</c:v>
                </c:pt>
                <c:pt idx="3" c:formatCode="0.00%">
                  <c:v>-0.409191326252489</c:v>
                </c:pt>
              </c:numCache>
            </c:numRef>
          </c:val>
        </c:ser>
        <c:dLbls>
          <c:showLegendKey val="0"/>
          <c:showVal val="0"/>
          <c:showCatName val="0"/>
          <c:showSerName val="0"/>
          <c:showPercent val="0"/>
          <c:showBubbleSize val="0"/>
        </c:dLbls>
        <c:gapWidth val="150"/>
        <c:axId val="59459456"/>
        <c:axId val="62557184"/>
      </c:barChart>
      <c:catAx>
        <c:axId val="59459456"/>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62557184"/>
        <c:crosses val="autoZero"/>
        <c:auto val="1"/>
        <c:lblAlgn val="ctr"/>
        <c:lblOffset val="100"/>
        <c:noMultiLvlLbl val="0"/>
      </c:catAx>
      <c:valAx>
        <c:axId val="62557184"/>
        <c:scaling>
          <c:orientation val="minMax"/>
        </c:scaling>
        <c:delete val="0"/>
        <c:axPos val="l"/>
        <c:majorGridlines/>
        <c:title>
          <c:layout/>
          <c:overlay val="0"/>
          <c:txPr>
            <a:bodyPr rot="-5400000" spcFirstLastPara="0" vertOverflow="ellipsis" vert="horz" wrap="square" anchor="ctr" anchorCtr="1"/>
            <a:lstStyle/>
            <a:p>
              <a:pPr>
                <a:defRPr lang="zh-CN" sz="1000" b="1" i="0" u="none" strike="noStrike" kern="1200" baseline="0">
                  <a:solidFill>
                    <a:schemeClr val="tx1"/>
                  </a:solidFill>
                  <a:latin typeface="+mn-lt"/>
                  <a:ea typeface="+mn-ea"/>
                  <a:cs typeface="+mn-cs"/>
                </a:defRPr>
              </a:pPr>
            </a:p>
          </c:txPr>
        </c:title>
        <c:numFmt formatCode="#,##0.00"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9459456"/>
        <c:crosses val="autoZero"/>
        <c:crossBetween val="between"/>
      </c:valAx>
      <c:dTable>
        <c:showHorzBorder val="1"/>
        <c:showVertBorder val="1"/>
        <c:showOutline val="1"/>
        <c:showKeys val="1"/>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dTable>
    </c:plotArea>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56958481004538"/>
          <c:y val="0.215277777777778"/>
          <c:w val="0.453496266123557"/>
          <c:h val="0.773148148148148"/>
        </c:manualLayout>
      </c:layout>
      <c:pieChart>
        <c:varyColors val="1"/>
        <c:ser>
          <c:idx val="0"/>
          <c:order val="0"/>
          <c:explosion val="0"/>
          <c:dPt>
            <c:idx val="0"/>
            <c:bubble3D val="0"/>
            <c:explosion val="25"/>
          </c:dPt>
          <c:dPt>
            <c:idx val="1"/>
            <c:bubble3D val="0"/>
          </c:dPt>
          <c:dLbls>
            <c:dLbl>
              <c:idx val="0"/>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财政拨款收入</a:t>
                    </a:r>
                    <a:r>
                      <a:rPr lang="en-US" altLang="zh-CN"/>
                      <a:t>,96.49% </a:t>
                    </a:r>
                    <a:endParaRPr lang="en-US" altLang="zh-CN"/>
                  </a:p>
                </c:rich>
              </c:tx>
              <c:dLblPos val="bestFit"/>
              <c:showLegendKey val="0"/>
              <c:showVal val="1"/>
              <c:showCatName val="1"/>
              <c:showSerName val="0"/>
              <c:showPercent val="0"/>
              <c:showBubbleSize val="0"/>
              <c:extLst>
                <c:ext xmlns:c15="http://schemas.microsoft.com/office/drawing/2012/chart" uri="{CE6537A1-D6FC-4f65-9D91-7224C49458BB}"/>
              </c:extLst>
            </c:dLbl>
            <c:dLbl>
              <c:idx val="1"/>
              <c:layout>
                <c:manualLayout>
                  <c:x val="-0.220487194701477"/>
                  <c:y val="0.139721128608924"/>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其他收入</a:t>
                    </a:r>
                    <a:r>
                      <a:rPr lang="en-US" altLang="zh-CN"/>
                      <a:t>, 3.51%</a:t>
                    </a:r>
                    <a:endParaRPr lang="zh-CN" altLang="en-US"/>
                  </a:p>
                </c:rich>
              </c:tx>
              <c:dLblPos val="bestFit"/>
              <c:showLegendKey val="0"/>
              <c:showVal val="1"/>
              <c:showCatName val="1"/>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ext>
            </c:extLst>
          </c:dLbls>
          <c:cat>
            <c:strRef>
              <c:f>'2020年决算公开\[博物馆决算公开数据图表.xlsx]Sheet1'!$G$1:$H$1</c:f>
              <c:strCache>
                <c:ptCount val="2"/>
                <c:pt idx="0">
                  <c:v>财政拨款收入</c:v>
                </c:pt>
                <c:pt idx="1">
                  <c:v>其他收入</c:v>
                </c:pt>
              </c:strCache>
            </c:strRef>
          </c:cat>
          <c:val>
            <c:numRef>
              <c:f>'2020年决算公开\[博物馆决算公开数据图表.xlsx]Sheet1'!$G$2:$H$2</c:f>
              <c:numCache>
                <c:formatCode>General</c:formatCode>
                <c:ptCount val="2"/>
                <c:pt idx="0">
                  <c:v>0.9649</c:v>
                </c:pt>
                <c:pt idx="1">
                  <c:v>0.0351</c:v>
                </c:pt>
              </c:numCache>
            </c:numRef>
          </c:val>
        </c:ser>
        <c:dLbls>
          <c:showLegendKey val="0"/>
          <c:showVal val="1"/>
          <c:showCatName val="1"/>
          <c:showSerName val="0"/>
          <c:showPercent val="0"/>
          <c:showBubbleSize val="0"/>
          <c:showLeaderLines val="1"/>
        </c:dLbls>
        <c:firstSliceAng val="0"/>
      </c:pieChart>
    </c:plotArea>
    <c:plotVisOnly val="1"/>
    <c:dispBlanksAs val="zero"/>
    <c:showDLblsOverMax val="0"/>
  </c:chart>
  <c:txPr>
    <a:bodyPr/>
    <a:lstStyle/>
    <a:p>
      <a:pPr>
        <a:defRPr lang="zh-CN"/>
      </a:pPr>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view3D>
      <c:rotX val="30"/>
      <c:rotY val="0"/>
      <c:depthPercent val="100"/>
      <c:rAngAx val="0"/>
      <c:perspective val="30"/>
    </c:view3D>
    <c:floor>
      <c:thickness val="0"/>
    </c:floor>
    <c:sideWall>
      <c:thickness val="0"/>
    </c:sideWall>
    <c:backWall>
      <c:thickness val="0"/>
    </c:backWall>
    <c:plotArea>
      <c:layout>
        <c:manualLayout>
          <c:layoutTarget val="inner"/>
          <c:xMode val="edge"/>
          <c:yMode val="edge"/>
          <c:x val="0.0819444444444445"/>
          <c:y val="0.192129629629629"/>
          <c:w val="0.813888888888889"/>
          <c:h val="0.773148148148149"/>
        </c:manualLayout>
      </c:layout>
      <c:pie3DChart>
        <c:varyColors val="1"/>
        <c:ser>
          <c:idx val="0"/>
          <c:order val="0"/>
          <c:explosion val="0"/>
          <c:dPt>
            <c:idx val="0"/>
            <c:bubble3D val="0"/>
          </c:dPt>
          <c:dPt>
            <c:idx val="1"/>
            <c:bubble3D val="0"/>
          </c:dPt>
          <c:dLbls>
            <c:dLbl>
              <c:idx val="0"/>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基本支出</a:t>
                    </a:r>
                    <a:r>
                      <a:rPr lang="en-US" altLang="zh-CN"/>
                      <a:t>, 38.94%</a:t>
                    </a:r>
                    <a:endParaRPr lang="en-US" altLang="zh-CN"/>
                  </a:p>
                </c:rich>
              </c:tx>
              <c:dLblPos val="bestFit"/>
              <c:showLegendKey val="0"/>
              <c:showVal val="1"/>
              <c:showCatName val="1"/>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项目支出</a:t>
                    </a:r>
                    <a:r>
                      <a:rPr lang="en-US" altLang="zh-CN"/>
                      <a:t>, 61.06%</a:t>
                    </a:r>
                    <a:endParaRPr lang="zh-CN" altLang="en-US"/>
                  </a:p>
                </c:rich>
              </c:tx>
              <c:dLblPos val="bestFit"/>
              <c:showLegendKey val="0"/>
              <c:showVal val="1"/>
              <c:showCatName val="1"/>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ext>
            </c:extLst>
          </c:dLbls>
          <c:cat>
            <c:strRef>
              <c:f>'2020年决算公开\[博物馆决算公开数据图表.xlsx]Sheet1'!$A$19:$B$19</c:f>
              <c:strCache>
                <c:ptCount val="2"/>
                <c:pt idx="0">
                  <c:v>基本支出</c:v>
                </c:pt>
                <c:pt idx="1">
                  <c:v>项目支出</c:v>
                </c:pt>
              </c:strCache>
            </c:strRef>
          </c:cat>
          <c:val>
            <c:numRef>
              <c:f>'2020年决算公开\[博物馆决算公开数据图表.xlsx]Sheet1'!$A$20:$B$20</c:f>
              <c:numCache>
                <c:formatCode>General</c:formatCode>
                <c:ptCount val="2"/>
                <c:pt idx="0">
                  <c:v>0.3894</c:v>
                </c:pt>
                <c:pt idx="1">
                  <c:v>0.6106</c:v>
                </c:pt>
              </c:numCache>
            </c:numRef>
          </c:val>
        </c:ser>
        <c:dLbls>
          <c:showLegendKey val="0"/>
          <c:showVal val="1"/>
          <c:showCatName val="1"/>
          <c:showSerName val="0"/>
          <c:showPercent val="0"/>
          <c:showBubbleSize val="0"/>
        </c:dLbls>
      </c:pie3DChart>
    </c:plotArea>
    <c:plotVisOnly val="1"/>
    <c:dispBlanksAs val="zero"/>
    <c:showDLblsOverMax val="0"/>
  </c:chart>
  <c:txPr>
    <a:bodyPr/>
    <a:lstStyle/>
    <a:p>
      <a:pPr>
        <a:defRPr lang="zh-CN"/>
      </a:pPr>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800"/>
              <a:t>财政拨款收、支决算总计变动情况</a:t>
            </a:r>
            <a:endParaRPr lang="zh-CN" altLang="en-US" sz="1800"/>
          </a:p>
        </c:rich>
      </c:tx>
      <c:layout/>
      <c:overlay val="0"/>
    </c:title>
    <c:autoTitleDeleted val="0"/>
    <c:plotArea>
      <c:layout/>
      <c:barChart>
        <c:barDir val="col"/>
        <c:grouping val="clustered"/>
        <c:varyColors val="0"/>
        <c:ser>
          <c:idx val="0"/>
          <c:order val="0"/>
          <c:tx>
            <c:strRef>
              <c:f>财政拨款收、支决算总计变动!$A$2</c:f>
              <c:strCache>
                <c:ptCount val="1"/>
                <c:pt idx="0">
                  <c:v>财政拨款收入总计</c:v>
                </c:pt>
              </c:strCache>
            </c:strRef>
          </c:tx>
          <c:invertIfNegative val="0"/>
          <c:dLbls>
            <c:delete val="1"/>
          </c:dLbls>
          <c:cat>
            <c:strRef>
              <c:f>财政拨款收、支决算总计变动!$B$1:$E$1</c:f>
              <c:strCache>
                <c:ptCount val="4"/>
                <c:pt idx="0">
                  <c:v>2020年</c:v>
                </c:pt>
                <c:pt idx="1">
                  <c:v>2021年</c:v>
                </c:pt>
                <c:pt idx="2">
                  <c:v>同比增减额</c:v>
                </c:pt>
                <c:pt idx="3">
                  <c:v>同比增减率</c:v>
                </c:pt>
              </c:strCache>
            </c:strRef>
          </c:cat>
          <c:val>
            <c:numRef>
              <c:f>财政拨款收、支决算总计变动!$B$2:$E$2</c:f>
              <c:numCache>
                <c:formatCode>_(* #,##0.00_);_(* \(#,##0.00\);_(* "-"??_);_(@_)</c:formatCode>
                <c:ptCount val="4"/>
                <c:pt idx="0">
                  <c:v>1672.62</c:v>
                </c:pt>
                <c:pt idx="1">
                  <c:v>995.67</c:v>
                </c:pt>
                <c:pt idx="2" c:formatCode="0.00_ ">
                  <c:v>-676.95</c:v>
                </c:pt>
                <c:pt idx="3" c:formatCode="0.00%">
                  <c:v>-0.404724324712128</c:v>
                </c:pt>
              </c:numCache>
            </c:numRef>
          </c:val>
        </c:ser>
        <c:ser>
          <c:idx val="1"/>
          <c:order val="1"/>
          <c:tx>
            <c:strRef>
              <c:f>财政拨款收、支决算总计变动!$A$3</c:f>
              <c:strCache>
                <c:ptCount val="1"/>
                <c:pt idx="0">
                  <c:v>财政拨款支出总计</c:v>
                </c:pt>
              </c:strCache>
            </c:strRef>
          </c:tx>
          <c:invertIfNegative val="0"/>
          <c:dLbls>
            <c:delete val="1"/>
          </c:dLbls>
          <c:cat>
            <c:strRef>
              <c:f>财政拨款收、支决算总计变动!$B$1:$E$1</c:f>
              <c:strCache>
                <c:ptCount val="4"/>
                <c:pt idx="0">
                  <c:v>2020年</c:v>
                </c:pt>
                <c:pt idx="1">
                  <c:v>2021年</c:v>
                </c:pt>
                <c:pt idx="2">
                  <c:v>同比增减额</c:v>
                </c:pt>
                <c:pt idx="3">
                  <c:v>同比增减率</c:v>
                </c:pt>
              </c:strCache>
            </c:strRef>
          </c:cat>
          <c:val>
            <c:numRef>
              <c:f>财政拨款收、支决算总计变动!$B$3:$E$3</c:f>
              <c:numCache>
                <c:formatCode>_(* #,##0.00_);_(* \(#,##0.00\);_(* "-"??_);_(@_)</c:formatCode>
                <c:ptCount val="4"/>
                <c:pt idx="0">
                  <c:v>1672.62</c:v>
                </c:pt>
                <c:pt idx="1">
                  <c:v>995.67</c:v>
                </c:pt>
                <c:pt idx="2" c:formatCode="0.00_ ">
                  <c:v>-676.95</c:v>
                </c:pt>
                <c:pt idx="3" c:formatCode="0.00%">
                  <c:v>-0.404724324712128</c:v>
                </c:pt>
              </c:numCache>
            </c:numRef>
          </c:val>
        </c:ser>
        <c:dLbls>
          <c:showLegendKey val="0"/>
          <c:showVal val="0"/>
          <c:showCatName val="0"/>
          <c:showSerName val="0"/>
          <c:showPercent val="0"/>
          <c:showBubbleSize val="0"/>
        </c:dLbls>
        <c:gapWidth val="150"/>
        <c:axId val="59829248"/>
        <c:axId val="59831040"/>
      </c:barChart>
      <c:catAx>
        <c:axId val="59829248"/>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9831040"/>
        <c:crosses val="autoZero"/>
        <c:auto val="1"/>
        <c:lblAlgn val="ctr"/>
        <c:lblOffset val="100"/>
        <c:noMultiLvlLbl val="0"/>
      </c:catAx>
      <c:valAx>
        <c:axId val="59831040"/>
        <c:scaling>
          <c:orientation val="minMax"/>
        </c:scaling>
        <c:delete val="0"/>
        <c:axPos val="l"/>
        <c:majorGridlines/>
        <c:title>
          <c:layout/>
          <c:overlay val="0"/>
          <c:txPr>
            <a:bodyPr rot="-5400000" spcFirstLastPara="0" vertOverflow="ellipsis" vert="horz" wrap="square" anchor="ctr" anchorCtr="1"/>
            <a:lstStyle/>
            <a:p>
              <a:pPr>
                <a:defRPr lang="zh-CN" sz="1000" b="1" i="0" u="none" strike="noStrike" kern="1200" baseline="0">
                  <a:solidFill>
                    <a:schemeClr val="tx1"/>
                  </a:solidFill>
                  <a:latin typeface="+mn-lt"/>
                  <a:ea typeface="+mn-ea"/>
                  <a:cs typeface="+mn-cs"/>
                </a:defRPr>
              </a:pPr>
            </a:p>
          </c:txPr>
        </c:title>
        <c:numFmt formatCode="_(* #,##0.00_);_(* \(#,##0.00\);_(* &quot;-&quot;??_);_(@_)"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9829248"/>
        <c:crosses val="autoZero"/>
        <c:crossBetween val="between"/>
      </c:valAx>
      <c:dTable>
        <c:showHorzBorder val="1"/>
        <c:showVertBorder val="1"/>
        <c:showOutline val="1"/>
        <c:showKeys val="1"/>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dTable>
    </c:plotArea>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400" baseline="0"/>
              <a:t>一般公共预算财政拨款支出决算变动情况</a:t>
            </a:r>
            <a:endParaRPr lang="zh-CN" altLang="en-US" sz="1400" baseline="0"/>
          </a:p>
        </c:rich>
      </c:tx>
      <c:layout/>
      <c:overlay val="0"/>
    </c:title>
    <c:autoTitleDeleted val="0"/>
    <c:plotArea>
      <c:layout>
        <c:manualLayout>
          <c:layoutTarget val="inner"/>
          <c:xMode val="edge"/>
          <c:yMode val="edge"/>
          <c:x val="0.0444444444444445"/>
          <c:y val="0.217227482640619"/>
          <c:w val="0.93888888888889"/>
          <c:h val="0.771533273530683"/>
        </c:manualLayout>
      </c:layout>
      <c:barChart>
        <c:barDir val="col"/>
        <c:grouping val="clustered"/>
        <c:varyColors val="0"/>
        <c:ser>
          <c:idx val="0"/>
          <c:order val="0"/>
          <c:tx>
            <c:strRef>
              <c:f>一般公共预算财政拨款支出!$A$2</c:f>
              <c:strCache>
                <c:ptCount val="1"/>
                <c:pt idx="0">
                  <c:v>一般公共预算财政拨款支出</c:v>
                </c:pt>
              </c:strCache>
            </c:strRef>
          </c:tx>
          <c:invertIfNegative val="0"/>
          <c:dLbls>
            <c:dLbl>
              <c:idx val="2"/>
              <c:layout>
                <c:manualLayout>
                  <c:x val="-0.00833333333333335"/>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486089238845137"/>
                  <c:y val="-0.054851656201202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一般公共预算财政拨款支出!$B$1:$E$1</c:f>
              <c:strCache>
                <c:ptCount val="4"/>
                <c:pt idx="0">
                  <c:v>2020年</c:v>
                </c:pt>
                <c:pt idx="1">
                  <c:v>2021年</c:v>
                </c:pt>
                <c:pt idx="2">
                  <c:v>同比减少</c:v>
                </c:pt>
                <c:pt idx="3">
                  <c:v>同比减少</c:v>
                </c:pt>
              </c:strCache>
            </c:strRef>
          </c:cat>
          <c:val>
            <c:numRef>
              <c:f>一般公共预算财政拨款支出!$B$2:$E$2</c:f>
              <c:numCache>
                <c:formatCode>_(* #,##0.00_);_(* \(#,##0.00\);_(* "-"??_);_(@_)</c:formatCode>
                <c:ptCount val="4"/>
                <c:pt idx="0">
                  <c:v>1430.05</c:v>
                </c:pt>
                <c:pt idx="1">
                  <c:v>995.67</c:v>
                </c:pt>
                <c:pt idx="2" c:formatCode="0.00_ ">
                  <c:v>-434.38</c:v>
                </c:pt>
                <c:pt idx="3" c:formatCode="0.00%">
                  <c:v>-0.303751617076326</c:v>
                </c:pt>
              </c:numCache>
            </c:numRef>
          </c:val>
        </c:ser>
        <c:ser>
          <c:idx val="1"/>
          <c:order val="1"/>
          <c:tx>
            <c:strRef>
              <c:f>一般公共预算财政拨款支出!$A$3</c:f>
              <c:strCache>
                <c:ptCount val="1"/>
                <c:pt idx="0">
                  <c:v>全年支出</c:v>
                </c:pt>
              </c:strCache>
            </c:strRef>
          </c:tx>
          <c:invertIfNegative val="0"/>
          <c:dLbls>
            <c:dLbl>
              <c:idx val="1"/>
              <c:layout>
                <c:manualLayout>
                  <c:x val="0.0229166666666667"/>
                  <c:y val="0.0031645569620253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11111111111111"/>
                  <c:y val="0.0084394830393036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36712962962962"/>
                  <c:y val="-0.0495770623608758"/>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一般公共预算财政拨款支出!$B$1:$E$1</c:f>
              <c:strCache>
                <c:ptCount val="4"/>
                <c:pt idx="0">
                  <c:v>2020年</c:v>
                </c:pt>
                <c:pt idx="1">
                  <c:v>2021年</c:v>
                </c:pt>
                <c:pt idx="2">
                  <c:v>同比减少</c:v>
                </c:pt>
                <c:pt idx="3">
                  <c:v>同比减少</c:v>
                </c:pt>
              </c:strCache>
            </c:strRef>
          </c:cat>
          <c:val>
            <c:numRef>
              <c:f>一般公共预算财政拨款支出!$B$3:$E$3</c:f>
              <c:numCache>
                <c:formatCode>_(* #,##0.00_);_(* \(#,##0.00\);_(* "-"??_);_(@_)</c:formatCode>
                <c:ptCount val="4"/>
                <c:pt idx="0">
                  <c:v>1471.02</c:v>
                </c:pt>
                <c:pt idx="1">
                  <c:v>1029.62</c:v>
                </c:pt>
                <c:pt idx="2" c:formatCode="0.00_ ">
                  <c:v>-441.4</c:v>
                </c:pt>
                <c:pt idx="3" c:formatCode="0.00%">
                  <c:v>-0.300063901238596</c:v>
                </c:pt>
              </c:numCache>
            </c:numRef>
          </c:val>
        </c:ser>
        <c:dLbls>
          <c:showLegendKey val="0"/>
          <c:showVal val="1"/>
          <c:showCatName val="0"/>
          <c:showSerName val="0"/>
          <c:showPercent val="0"/>
          <c:showBubbleSize val="0"/>
        </c:dLbls>
        <c:gapWidth val="150"/>
        <c:overlap val="-25"/>
        <c:axId val="59933440"/>
        <c:axId val="59934976"/>
      </c:barChart>
      <c:catAx>
        <c:axId val="59933440"/>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9934976"/>
        <c:crosses val="autoZero"/>
        <c:auto val="1"/>
        <c:lblAlgn val="ctr"/>
        <c:lblOffset val="100"/>
        <c:noMultiLvlLbl val="0"/>
      </c:catAx>
      <c:valAx>
        <c:axId val="59934976"/>
        <c:scaling>
          <c:orientation val="minMax"/>
        </c:scaling>
        <c:delete val="1"/>
        <c:axPos val="l"/>
        <c:numFmt formatCode="_(* #,##0.00_);_(* \(#,##0.00\);_(* &quot;-&quot;??_);_(@_)"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9933440"/>
        <c:crosses val="autoZero"/>
        <c:crossBetween val="between"/>
      </c:valAx>
    </c:plotArea>
    <c:legend>
      <c:legendPos val="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zh-CN" sz="1800" b="1" i="0" baseline="0">
                <a:effectLst/>
              </a:rPr>
              <a:t>一般公共预算财政拨款支出决算结构</a:t>
            </a:r>
            <a:endParaRPr lang="zh-CN" altLang="zh-CN">
              <a:effectLst/>
            </a:endParaRPr>
          </a:p>
        </c:rich>
      </c:tx>
      <c:layout>
        <c:manualLayout>
          <c:xMode val="edge"/>
          <c:yMode val="edge"/>
          <c:x val="0.0679860017497813"/>
          <c:y val="0"/>
        </c:manualLayout>
      </c:layout>
      <c:overlay val="0"/>
    </c:title>
    <c:autoTitleDeleted val="0"/>
    <c:plotArea>
      <c:layout/>
      <c:pieChart>
        <c:varyColors val="1"/>
        <c:ser>
          <c:idx val="0"/>
          <c:order val="0"/>
          <c:explosion val="0"/>
          <c:dPt>
            <c:idx val="0"/>
            <c:bubble3D val="0"/>
          </c:dPt>
          <c:dPt>
            <c:idx val="1"/>
            <c:bubble3D val="0"/>
          </c:dPt>
          <c:dPt>
            <c:idx val="2"/>
            <c:bubble3D val="0"/>
          </c:dPt>
          <c:dPt>
            <c:idx val="3"/>
            <c:bubble3D val="0"/>
          </c:dPt>
          <c:dPt>
            <c:idx val="4"/>
            <c:bubble3D val="0"/>
          </c:dPt>
          <c:dLbls>
            <c:dLbl>
              <c:idx val="0"/>
              <c:layout>
                <c:manualLayout>
                  <c:x val="0.351757655293088"/>
                  <c:y val="-0.0115620443277924"/>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一般公共服务支出
</a:t>
                    </a:r>
                    <a:r>
                      <a:rPr lang="en-US" altLang="zh-CN"/>
                      <a:t>0.34%</a:t>
                    </a:r>
                    <a:endParaRPr lang="en-US" altLang="zh-CN"/>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166790901137358"/>
                  <c:y val="0.0987037037037037"/>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科学技术支出
</a:t>
                    </a:r>
                    <a:r>
                      <a:rPr lang="en-US" altLang="zh-CN"/>
                      <a:t>1.80%</a:t>
                    </a:r>
                    <a:endParaRPr lang="en-US" altLang="zh-CN"/>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文化旅游体育与传媒支出
</a:t>
                    </a:r>
                    <a:r>
                      <a:rPr lang="en-US" altLang="zh-CN"/>
                      <a:t>90.29%</a:t>
                    </a:r>
                    <a:endParaRPr lang="en-US" altLang="zh-CN"/>
                  </a:p>
                </c:rich>
              </c:tx>
              <c:dLblPos val="bestFit"/>
              <c:showLegendKey val="0"/>
              <c:showVal val="0"/>
              <c:showCatName val="1"/>
              <c:showSerName val="0"/>
              <c:showPercent val="1"/>
              <c:showBubbleSize val="0"/>
              <c:separator>
</c:separator>
              <c:extLst>
                <c:ext xmlns:c15="http://schemas.microsoft.com/office/drawing/2012/chart" uri="{CE6537A1-D6FC-4f65-9D91-7224C49458BB}"/>
              </c:extLst>
            </c:dLbl>
            <c:dLbl>
              <c:idx val="3"/>
              <c:layout>
                <c:manualLayout>
                  <c:x val="-0.242075131233596"/>
                  <c:y val="0.218770049577136"/>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社会保障和就业支出
</a:t>
                    </a:r>
                    <a:r>
                      <a:rPr lang="en-US" altLang="zh-CN"/>
                      <a:t>5.15%</a:t>
                    </a:r>
                    <a:endParaRPr lang="en-US" altLang="zh-CN"/>
                  </a:p>
                </c:rich>
              </c:tx>
              <c:numFmt formatCode="#,##0.00_);[Red]\(#,##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110672790901137"/>
                  <c:y val="0.0570767716535433"/>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住房保障支出
</a:t>
                    </a:r>
                    <a:r>
                      <a:rPr lang="en-US" altLang="zh-CN"/>
                      <a:t>2.42%</a:t>
                    </a:r>
                    <a:endParaRPr lang="en-US" altLang="zh-CN"/>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一般公共预算财政拨款支出决算结构!$A$1:$A$5</c:f>
              <c:strCache>
                <c:ptCount val="5"/>
                <c:pt idx="0">
                  <c:v>一般公共服务支出</c:v>
                </c:pt>
                <c:pt idx="1">
                  <c:v>科学技术支出</c:v>
                </c:pt>
                <c:pt idx="2">
                  <c:v>文化旅游体育与传媒支出</c:v>
                </c:pt>
                <c:pt idx="3">
                  <c:v>社会保障和就业支出</c:v>
                </c:pt>
                <c:pt idx="4">
                  <c:v>住房保障支出</c:v>
                </c:pt>
              </c:strCache>
            </c:strRef>
          </c:cat>
          <c:val>
            <c:numRef>
              <c:f>一般公共预算财政拨款支出决算结构!$B$1:$B$5</c:f>
              <c:numCache>
                <c:formatCode>0.00%</c:formatCode>
                <c:ptCount val="5"/>
                <c:pt idx="0">
                  <c:v>0.0034</c:v>
                </c:pt>
                <c:pt idx="1">
                  <c:v>0.0179778440648006</c:v>
                </c:pt>
                <c:pt idx="2">
                  <c:v>0.9029</c:v>
                </c:pt>
                <c:pt idx="3">
                  <c:v>0.0515</c:v>
                </c:pt>
                <c:pt idx="4">
                  <c:v>0.0242</c:v>
                </c:pt>
              </c:numCache>
            </c:numRef>
          </c:val>
        </c:ser>
        <c:dLbls>
          <c:showLegendKey val="0"/>
          <c:showVal val="0"/>
          <c:showCatName val="1"/>
          <c:showSerName val="0"/>
          <c:showPercent val="1"/>
          <c:showBubbleSize val="0"/>
          <c:showLeaderLines val="1"/>
        </c:dLbls>
        <c:firstSliceAng val="0"/>
      </c:pieChart>
    </c:plotArea>
    <c:plotVisOnly val="1"/>
    <c:dispBlanksAs val="zero"/>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800"/>
              <a:t>“三公”经费财政拨款支出结构</a:t>
            </a:r>
            <a:endParaRPr lang="zh-CN" altLang="en-US" sz="1800"/>
          </a:p>
        </c:rich>
      </c:tx>
      <c:layout/>
      <c:overlay val="0"/>
    </c:title>
    <c:autoTitleDeleted val="0"/>
    <c:view3D>
      <c:rotX val="30"/>
      <c:rotY val="0"/>
      <c:depthPercent val="100"/>
      <c:rAngAx val="0"/>
      <c:perspective val="30"/>
    </c:view3D>
    <c:floor>
      <c:thickness val="0"/>
    </c:floor>
    <c:sideWall>
      <c:thickness val="0"/>
    </c:sideWall>
    <c:backWall>
      <c:thickness val="0"/>
    </c:backWall>
    <c:plotArea>
      <c:layout/>
      <c:pie3DChart>
        <c:varyColors val="1"/>
        <c:ser>
          <c:idx val="0"/>
          <c:order val="0"/>
          <c:explosion val="0"/>
          <c:dPt>
            <c:idx val="0"/>
            <c:bubble3D val="0"/>
          </c:dPt>
          <c:dPt>
            <c:idx val="1"/>
            <c:bubble3D val="0"/>
          </c:dPt>
          <c:dLbls>
            <c:dLbl>
              <c:idx val="0"/>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公务用车购置及运行维护费支出
</a:t>
                    </a:r>
                    <a:r>
                      <a:rPr lang="en-US" altLang="zh-CN"/>
                      <a:t>94.13%</a:t>
                    </a:r>
                    <a:endParaRPr lang="en-US" altLang="zh-CN"/>
                  </a:p>
                </c:rich>
              </c:tx>
              <c:dLblPos val="bestFit"/>
              <c:showLegendKey val="0"/>
              <c:showVal val="0"/>
              <c:showCatName val="1"/>
              <c:showSerName val="0"/>
              <c:showPercent val="1"/>
              <c:showBubbleSize val="0"/>
              <c:separator>
</c:separator>
              <c:extLst>
                <c:ext xmlns:c15="http://schemas.microsoft.com/office/drawing/2012/chart" uri="{CE6537A1-D6FC-4f65-9D91-7224C49458BB}"/>
              </c:extLst>
            </c:dLbl>
            <c:dLbl>
              <c:idx val="1"/>
              <c:layout>
                <c:manualLayout>
                  <c:x val="-0.192561023622047"/>
                  <c:y val="0.0845651064450279"/>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公务接待费支出
</a:t>
                    </a:r>
                    <a:r>
                      <a:rPr lang="en-US" altLang="zh-CN"/>
                      <a:t>5.87%</a:t>
                    </a:r>
                    <a:endParaRPr lang="zh-CN" altLang="en-US"/>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“三公”经费财政拨款支出结构!$A$1:$A$2</c:f>
              <c:strCache>
                <c:ptCount val="2"/>
                <c:pt idx="0">
                  <c:v>公务用车购置及运行维护费支出</c:v>
                </c:pt>
                <c:pt idx="1">
                  <c:v>公务接待费支出</c:v>
                </c:pt>
              </c:strCache>
            </c:strRef>
          </c:cat>
          <c:val>
            <c:numRef>
              <c:f>“三公”经费财政拨款支出结构!$B$1:$B$2</c:f>
              <c:numCache>
                <c:formatCode>0.00%</c:formatCode>
                <c:ptCount val="2"/>
                <c:pt idx="0">
                  <c:v>0.9413</c:v>
                </c:pt>
                <c:pt idx="1">
                  <c:v>0.0587</c:v>
                </c:pt>
              </c:numCache>
            </c:numRef>
          </c:val>
        </c:ser>
        <c:dLbls>
          <c:showLegendKey val="0"/>
          <c:showVal val="0"/>
          <c:showCatName val="1"/>
          <c:showSerName val="0"/>
          <c:showPercent val="1"/>
          <c:showBubbleSize val="0"/>
        </c:dLbls>
      </c:pie3DChart>
    </c:plotArea>
    <c:plotVisOnly val="1"/>
    <c:dispBlanksAs val="zero"/>
    <c:showDLblsOverMax val="0"/>
  </c:chart>
  <c:txPr>
    <a:bodyPr/>
    <a:lstStyle/>
    <a:p>
      <a:pPr>
        <a:defRPr lang="zh-CN"/>
      </a:pPr>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0.21792</cdr:x>
      <cdr:y>0.05556</cdr:y>
    </cdr:from>
    <cdr:to>
      <cdr:x>0.89817</cdr:x>
      <cdr:y>0.19444</cdr:y>
    </cdr:to>
    <cdr:sp>
      <cdr:nvSpPr>
        <cdr:cNvPr id="2" name="矩形 1"/>
        <cdr:cNvSpPr/>
      </cdr:nvSpPr>
      <cdr:spPr xmlns:a="http://schemas.openxmlformats.org/drawingml/2006/main">
        <a:xfrm xmlns:a="http://schemas.openxmlformats.org/drawingml/2006/main">
          <a:off x="1019175" y="152401"/>
          <a:ext cx="3181350" cy="381000"/>
        </a:xfrm>
        <a:prstGeom xmlns:a="http://schemas.openxmlformats.org/drawingml/2006/main" prst="rect">
          <a:avLst/>
        </a:prstGeom>
      </cdr:spPr>
      <cdr:txBody xmlns:a="http://schemas.openxmlformats.org/drawingml/2006/main">
        <a:bodyPr vertOverflow="clip" vert="horz" wrap="square" lIns="45720" tIns="45720" rIns="45720" bIns="45720" rtlCol="0" anchor="t" anchorCtr="0">
          <a:normAutofit/>
        </a:bodyPr>
        <a:lstStyle/>
        <a:p>
          <a:pPr algn="ctr" rtl="0">
            <a:defRPr sz="2000" b="1" i="0" u="none" strike="noStrike" kern="1200" baseline="0">
              <a:solidFill>
                <a:sysClr val="windowText" lastClr="000000"/>
              </a:solidFill>
              <a:latin typeface="+mn-lt"/>
              <a:ea typeface="+mn-ea"/>
              <a:cs typeface="+mn-cs"/>
            </a:defRPr>
          </a:pPr>
          <a:r>
            <a:rPr lang="zh-CN" altLang="en-US" sz="1600" b="1" i="0" u="none" strike="noStrike" kern="1200" baseline="0">
              <a:solidFill>
                <a:sysClr val="windowText" lastClr="000000"/>
              </a:solidFill>
              <a:latin typeface="+mn-lt"/>
              <a:ea typeface="+mn-ea"/>
              <a:cs typeface="+mn-cs"/>
            </a:rPr>
            <a:t>收入决算结构图</a:t>
          </a:r>
          <a:endParaRPr lang="zh-CN" altLang="en-US" sz="1600" b="1" i="0" u="none" strike="noStrike" kern="1200" baseline="0">
            <a:solidFill>
              <a:sysClr val="windowText" lastClr="000000"/>
            </a:solidFill>
            <a:latin typeface="+mn-lt"/>
            <a:ea typeface="+mn-ea"/>
            <a:cs typeface="+mn-cs"/>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0.2125</cdr:x>
      <cdr:y>0.03819</cdr:y>
    </cdr:from>
    <cdr:to>
      <cdr:x>0.82083</cdr:x>
      <cdr:y>0.15625</cdr:y>
    </cdr:to>
    <cdr:sp>
      <cdr:nvSpPr>
        <cdr:cNvPr id="2" name="矩形 1"/>
        <cdr:cNvSpPr/>
      </cdr:nvSpPr>
      <cdr:spPr xmlns:a="http://schemas.openxmlformats.org/drawingml/2006/main">
        <a:xfrm xmlns:a="http://schemas.openxmlformats.org/drawingml/2006/main">
          <a:off x="971551" y="104775"/>
          <a:ext cx="2781300" cy="323851"/>
        </a:xfrm>
        <a:prstGeom xmlns:a="http://schemas.openxmlformats.org/drawingml/2006/main" prst="rect">
          <a:avLst/>
        </a:prstGeom>
      </cdr:spPr>
      <cdr:txBody xmlns:a="http://schemas.openxmlformats.org/drawingml/2006/main">
        <a:bodyPr vertOverflow="clip" vert="horz" wrap="square" lIns="45720" tIns="45720" rIns="45720" bIns="45720" rtlCol="0" anchor="t" anchorCtr="0">
          <a:normAutofit/>
        </a:bodyPr>
        <a:lstStyle/>
        <a:p>
          <a:r>
            <a:rPr lang="zh-CN" altLang="en-US" sz="1600" b="1" i="0" u="none" strike="noStrike" kern="1200" baseline="0">
              <a:solidFill>
                <a:sysClr val="windowText" lastClr="000000"/>
              </a:solidFill>
              <a:latin typeface="+mn-lt"/>
              <a:ea typeface="+mn-ea"/>
              <a:cs typeface="+mn-cs"/>
            </a:rPr>
            <a:t>支出决算结构图</a:t>
          </a:r>
          <a:endParaRPr lang="zh-CN" altLang="en-US" sz="1600" b="1" i="0" u="none" strike="noStrike" kern="1200" baseline="0">
            <a:solidFill>
              <a:sysClr val="windowText" lastClr="000000"/>
            </a:solidFill>
            <a:latin typeface="+mn-lt"/>
            <a:ea typeface="+mn-ea"/>
            <a:cs typeface="+mn-cs"/>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642A89-EEDE-4DCD-BF99-5311DF231D72}">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34</Pages>
  <Words>16060</Words>
  <Characters>17386</Characters>
  <Lines>41</Lines>
  <Paragraphs>41</Paragraphs>
  <TotalTime>11</TotalTime>
  <ScaleCrop>false</ScaleCrop>
  <LinksUpToDate>false</LinksUpToDate>
  <CharactersWithSpaces>17893</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Administrator</cp:lastModifiedBy>
  <cp:lastPrinted>2022-08-06T02:23:00Z</cp:lastPrinted>
  <dcterms:modified xsi:type="dcterms:W3CDTF">2023-09-27T07:38:20Z</dcterms:modified>
  <dc:title>四川省***</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8803026E916C40958BDB30A47FEC932E</vt:lpwstr>
  </property>
</Properties>
</file>